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4282A" w14:textId="39C021B8" w:rsidR="004B59EA" w:rsidRPr="00BD3392" w:rsidRDefault="00702F1C" w:rsidP="004B59EA">
      <w:pPr>
        <w:jc w:val="center"/>
        <w:outlineLvl w:val="0"/>
        <w:rPr>
          <w:rFonts w:ascii="Calibri" w:hAnsi="Calibri" w:cs="Arial"/>
          <w:b/>
          <w:i/>
          <w:iCs/>
          <w:szCs w:val="22"/>
          <w:u w:val="single"/>
        </w:rPr>
      </w:pPr>
      <w:bookmarkStart w:id="0" w:name="_GoBack"/>
      <w:bookmarkEnd w:id="0"/>
      <w:r>
        <w:rPr>
          <w:rFonts w:ascii="Calibri" w:hAnsi="Calibri" w:cs="Arial"/>
          <w:b/>
          <w:i/>
          <w:iCs/>
          <w:szCs w:val="22"/>
          <w:u w:val="single"/>
        </w:rPr>
        <w:t>Domestic</w:t>
      </w:r>
      <w:r w:rsidR="004B59EA">
        <w:rPr>
          <w:rFonts w:ascii="Calibri" w:hAnsi="Calibri" w:cs="Arial"/>
          <w:b/>
          <w:i/>
          <w:iCs/>
          <w:szCs w:val="22"/>
          <w:u w:val="single"/>
        </w:rPr>
        <w:t xml:space="preserve"> implications of the Paris Rulebook</w:t>
      </w:r>
    </w:p>
    <w:p w14:paraId="23E5A4B5" w14:textId="77777777" w:rsidR="004B59EA" w:rsidRPr="00BD3392" w:rsidRDefault="004B59EA" w:rsidP="004B59EA">
      <w:pPr>
        <w:jc w:val="center"/>
        <w:rPr>
          <w:rFonts w:ascii="Calibri" w:hAnsi="Calibri" w:cs="Arial"/>
          <w:i/>
          <w:iCs/>
          <w:szCs w:val="22"/>
        </w:rPr>
      </w:pPr>
      <w:r w:rsidRPr="00BD3392">
        <w:rPr>
          <w:rFonts w:ascii="Calibri" w:hAnsi="Calibri" w:cs="Arial"/>
          <w:i/>
          <w:iCs/>
          <w:szCs w:val="22"/>
        </w:rPr>
        <w:t xml:space="preserve"> </w:t>
      </w:r>
    </w:p>
    <w:p w14:paraId="3BEC783D" w14:textId="77777777" w:rsidR="004B59EA" w:rsidRPr="0080142A" w:rsidRDefault="004B59EA" w:rsidP="0076620B">
      <w:pPr>
        <w:rPr>
          <w:rFonts w:ascii="Calibri" w:eastAsia="SimSun" w:hAnsi="Calibri"/>
          <w:i/>
          <w:szCs w:val="22"/>
          <w:lang w:val="en-GB" w:eastAsia="zh-CN"/>
        </w:rPr>
      </w:pPr>
      <w:r w:rsidRPr="00BD3392">
        <w:rPr>
          <w:rFonts w:ascii="Calibri" w:eastAsia="SimSun" w:hAnsi="Calibri" w:cs="Arial"/>
          <w:i/>
          <w:color w:val="000000"/>
          <w:szCs w:val="22"/>
          <w:lang w:val="en-GB" w:eastAsia="zh-CN"/>
        </w:rPr>
        <w:t>IMPORTANT: LRI acts as an intermediary in obtaining legal advice from third parties on the query you have raised. That advice is provided to LRI but we are able to share it with you. The third-party advisers have accepted certain duties to LRI but have not and do not accept any duty to you. LRI itself does not and cannot provide legal advice. As a consequence, LRI takes no responsibility for the content of any advice that it forwards, nor does it accept any responsibility for any delay either in obtaining or sending copies to you of the advice it receives.</w:t>
      </w:r>
      <w:r w:rsidRPr="00BD3392">
        <w:rPr>
          <w:rFonts w:ascii="Calibri" w:eastAsia="SimSun" w:hAnsi="Calibri" w:cs="Arial"/>
          <w:i/>
          <w:color w:val="000000"/>
          <w:szCs w:val="22"/>
          <w:lang w:val="en-GB" w:eastAsia="zh-CN"/>
        </w:rPr>
        <w:br/>
      </w:r>
      <w:r w:rsidRPr="00BD3392">
        <w:rPr>
          <w:rFonts w:ascii="Calibri" w:eastAsia="SimSun" w:hAnsi="Calibri" w:cs="Arial"/>
          <w:i/>
          <w:color w:val="000000"/>
          <w:szCs w:val="22"/>
          <w:lang w:val="en-GB" w:eastAsia="zh-CN"/>
        </w:rPr>
        <w:br/>
        <w:t>In forwarding the advice to you, LRI does not intend to create a lawyer-client relationship with you and to the extent permitted by law, any liability of LRI to you (including in negligence or for any damages of any kind) is excluded. Any dispute between you and LRI shall be governed by English Law, and the English Courts will have exclusive jurisdiction.</w:t>
      </w:r>
      <w:r w:rsidRPr="00BD3392">
        <w:rPr>
          <w:rFonts w:ascii="Calibri" w:eastAsia="SimSun" w:hAnsi="Calibri" w:cs="Arial"/>
          <w:i/>
          <w:szCs w:val="22"/>
          <w:lang w:val="en-GB" w:eastAsia="zh-CN"/>
        </w:rPr>
        <w:t xml:space="preserve"> In consideration of LRI sharing the advice with you, you agree to the terms set out above.</w:t>
      </w:r>
    </w:p>
    <w:p w14:paraId="79CD96BF" w14:textId="77777777" w:rsidR="004B59EA" w:rsidRPr="00BD3392" w:rsidRDefault="004B59EA" w:rsidP="004B59EA">
      <w:pPr>
        <w:jc w:val="both"/>
        <w:rPr>
          <w:rFonts w:ascii="Calibri" w:hAnsi="Calibri"/>
          <w:i/>
          <w:szCs w:val="22"/>
          <w:lang w:val="en-GB" w:eastAsia="en-AU"/>
        </w:rPr>
      </w:pPr>
    </w:p>
    <w:p w14:paraId="5F1D0E61" w14:textId="1B23F140" w:rsidR="004B59EA" w:rsidRPr="00BD3392" w:rsidRDefault="004B59EA" w:rsidP="004B59EA">
      <w:pPr>
        <w:pBdr>
          <w:bottom w:val="single" w:sz="4" w:space="1" w:color="auto"/>
        </w:pBdr>
        <w:jc w:val="both"/>
        <w:outlineLvl w:val="0"/>
        <w:rPr>
          <w:rFonts w:ascii="Calibri" w:hAnsi="Calibri"/>
          <w:szCs w:val="22"/>
          <w:lang w:eastAsia="en-AU"/>
        </w:rPr>
      </w:pPr>
      <w:r w:rsidRPr="00BD3392">
        <w:rPr>
          <w:rFonts w:ascii="Calibri" w:hAnsi="Calibri"/>
          <w:i/>
          <w:szCs w:val="22"/>
          <w:lang w:eastAsia="en-AU"/>
        </w:rPr>
        <w:t xml:space="preserve">This advice is provided in response to </w:t>
      </w:r>
      <w:r w:rsidRPr="00C07BBB">
        <w:rPr>
          <w:rFonts w:ascii="Calibri" w:hAnsi="Calibri"/>
          <w:b/>
          <w:i/>
          <w:szCs w:val="22"/>
          <w:lang w:eastAsia="en-AU"/>
        </w:rPr>
        <w:t>Query</w:t>
      </w:r>
      <w:r w:rsidR="004C25C8">
        <w:rPr>
          <w:rFonts w:ascii="Calibri" w:hAnsi="Calibri"/>
          <w:b/>
          <w:i/>
          <w:szCs w:val="22"/>
          <w:lang w:eastAsia="en-AU"/>
        </w:rPr>
        <w:t xml:space="preserve"> 4</w:t>
      </w:r>
      <w:r w:rsidRPr="00C07BBB">
        <w:rPr>
          <w:rFonts w:ascii="Calibri" w:hAnsi="Calibri"/>
          <w:b/>
          <w:i/>
          <w:szCs w:val="22"/>
          <w:lang w:eastAsia="en-AU"/>
        </w:rPr>
        <w:t>/1</w:t>
      </w:r>
      <w:r w:rsidR="004C25C8">
        <w:rPr>
          <w:rFonts w:ascii="Calibri" w:hAnsi="Calibri"/>
          <w:b/>
          <w:i/>
          <w:szCs w:val="22"/>
          <w:lang w:eastAsia="en-AU"/>
        </w:rPr>
        <w:t>9</w:t>
      </w:r>
    </w:p>
    <w:p w14:paraId="78BD75C7" w14:textId="77777777" w:rsidR="004B59EA" w:rsidRDefault="004B59EA" w:rsidP="004B59EA">
      <w:pPr>
        <w:jc w:val="both"/>
        <w:outlineLvl w:val="0"/>
        <w:rPr>
          <w:rFonts w:ascii="Calibri" w:hAnsi="Calibri"/>
          <w:b/>
          <w:szCs w:val="22"/>
          <w:lang w:eastAsia="en-AU"/>
        </w:rPr>
      </w:pPr>
    </w:p>
    <w:p w14:paraId="175C4BA1" w14:textId="77777777" w:rsidR="004B59EA" w:rsidRDefault="004B59EA" w:rsidP="004B59EA">
      <w:pPr>
        <w:jc w:val="both"/>
        <w:outlineLvl w:val="0"/>
        <w:rPr>
          <w:rFonts w:ascii="Calibri" w:hAnsi="Calibri"/>
          <w:b/>
          <w:szCs w:val="22"/>
          <w:lang w:eastAsia="en-AU"/>
        </w:rPr>
      </w:pPr>
      <w:r w:rsidRPr="00CB6DF3">
        <w:rPr>
          <w:rFonts w:ascii="Calibri" w:hAnsi="Calibri"/>
          <w:b/>
          <w:szCs w:val="22"/>
          <w:lang w:eastAsia="en-AU"/>
        </w:rPr>
        <w:t>Query:</w:t>
      </w:r>
    </w:p>
    <w:p w14:paraId="26DF382B" w14:textId="77777777" w:rsidR="004C25C8" w:rsidRDefault="004C25C8" w:rsidP="004B59EA">
      <w:pPr>
        <w:pBdr>
          <w:top w:val="nil"/>
          <w:left w:val="nil"/>
          <w:bottom w:val="nil"/>
          <w:right w:val="nil"/>
          <w:between w:val="nil"/>
        </w:pBdr>
        <w:jc w:val="both"/>
        <w:rPr>
          <w:rFonts w:ascii="Calibri" w:hAnsi="Calibri"/>
          <w:szCs w:val="22"/>
          <w:lang w:eastAsia="en-AU"/>
        </w:rPr>
      </w:pPr>
    </w:p>
    <w:p w14:paraId="1A8F1AB0" w14:textId="2CB88430" w:rsidR="00E57B69" w:rsidRDefault="004C25C8" w:rsidP="004B59EA">
      <w:pPr>
        <w:pBdr>
          <w:top w:val="nil"/>
          <w:left w:val="nil"/>
          <w:bottom w:val="nil"/>
          <w:right w:val="nil"/>
          <w:between w:val="nil"/>
        </w:pBdr>
        <w:jc w:val="both"/>
        <w:rPr>
          <w:rFonts w:ascii="Calibri" w:hAnsi="Calibri"/>
          <w:szCs w:val="22"/>
          <w:lang w:eastAsia="en-AU"/>
        </w:rPr>
      </w:pPr>
      <w:r>
        <w:rPr>
          <w:rFonts w:ascii="Calibri" w:hAnsi="Calibri"/>
          <w:szCs w:val="22"/>
          <w:lang w:eastAsia="en-AU"/>
        </w:rPr>
        <w:t>What may be the possible implications of the Paris Rulebook for law</w:t>
      </w:r>
      <w:r w:rsidR="00702F1C">
        <w:rPr>
          <w:rFonts w:ascii="Calibri" w:hAnsi="Calibri"/>
          <w:szCs w:val="22"/>
          <w:lang w:eastAsia="en-AU"/>
        </w:rPr>
        <w:t xml:space="preserve">, </w:t>
      </w:r>
      <w:r>
        <w:rPr>
          <w:rFonts w:ascii="Calibri" w:hAnsi="Calibri"/>
          <w:szCs w:val="22"/>
          <w:lang w:eastAsia="en-AU"/>
        </w:rPr>
        <w:t>policy</w:t>
      </w:r>
      <w:r w:rsidR="00702F1C">
        <w:rPr>
          <w:rFonts w:ascii="Calibri" w:hAnsi="Calibri"/>
          <w:szCs w:val="22"/>
          <w:lang w:eastAsia="en-AU"/>
        </w:rPr>
        <w:t xml:space="preserve"> and further action</w:t>
      </w:r>
      <w:r>
        <w:rPr>
          <w:rFonts w:ascii="Calibri" w:hAnsi="Calibri"/>
          <w:szCs w:val="22"/>
          <w:lang w:eastAsia="en-AU"/>
        </w:rPr>
        <w:t xml:space="preserve"> in developing countries?</w:t>
      </w:r>
    </w:p>
    <w:p w14:paraId="2BBFC5E8" w14:textId="77777777" w:rsidR="00DF0894" w:rsidRDefault="00DF0894" w:rsidP="004B59EA">
      <w:pPr>
        <w:pBdr>
          <w:top w:val="nil"/>
          <w:left w:val="nil"/>
          <w:bottom w:val="nil"/>
          <w:right w:val="nil"/>
          <w:between w:val="nil"/>
        </w:pBdr>
        <w:jc w:val="both"/>
        <w:rPr>
          <w:rFonts w:ascii="Calibri" w:hAnsi="Calibri"/>
          <w:szCs w:val="22"/>
          <w:lang w:eastAsia="en-AU"/>
        </w:rPr>
      </w:pPr>
    </w:p>
    <w:p w14:paraId="7861CE51" w14:textId="5B34E7CB" w:rsidR="00837EB7" w:rsidRPr="009D29DD" w:rsidRDefault="00DF0894">
      <w:pPr>
        <w:pBdr>
          <w:top w:val="nil"/>
          <w:left w:val="nil"/>
          <w:bottom w:val="nil"/>
          <w:right w:val="nil"/>
          <w:between w:val="nil"/>
        </w:pBdr>
        <w:jc w:val="both"/>
        <w:rPr>
          <w:rFonts w:ascii="Calibri" w:eastAsia="Calibri" w:hAnsi="Calibri" w:cs="Calibri"/>
          <w:b/>
          <w:color w:val="000000"/>
        </w:rPr>
      </w:pPr>
      <w:r w:rsidRPr="00837EB7">
        <w:rPr>
          <w:rFonts w:ascii="Calibri" w:hAnsi="Calibri"/>
          <w:b/>
          <w:szCs w:val="22"/>
          <w:lang w:eastAsia="en-AU"/>
        </w:rPr>
        <w:t>Advice:</w:t>
      </w:r>
    </w:p>
    <w:p w14:paraId="2A42BD61" w14:textId="77777777" w:rsidR="00837EB7" w:rsidRPr="009D29DD" w:rsidRDefault="00837EB7" w:rsidP="00837EB7">
      <w:pPr>
        <w:pBdr>
          <w:top w:val="nil"/>
          <w:left w:val="nil"/>
          <w:bottom w:val="nil"/>
          <w:right w:val="nil"/>
          <w:between w:val="nil"/>
        </w:pBdr>
        <w:rPr>
          <w:rFonts w:ascii="Calibri" w:eastAsia="Calibri" w:hAnsi="Calibri" w:cs="Calibri"/>
          <w:color w:val="000000"/>
        </w:rPr>
      </w:pPr>
    </w:p>
    <w:p w14:paraId="5D67F898" w14:textId="6FFC1CAA" w:rsidR="00837EB7" w:rsidRPr="009D29DD" w:rsidRDefault="00837EB7" w:rsidP="00837EB7">
      <w:pPr>
        <w:pBdr>
          <w:top w:val="nil"/>
          <w:left w:val="nil"/>
          <w:bottom w:val="nil"/>
          <w:right w:val="nil"/>
          <w:between w:val="nil"/>
        </w:pBdr>
        <w:rPr>
          <w:rFonts w:ascii="Calibri" w:eastAsia="Calibri" w:hAnsi="Calibri" w:cs="Calibri"/>
          <w:b/>
          <w:color w:val="000000"/>
        </w:rPr>
        <w:sectPr w:rsidR="00837EB7" w:rsidRPr="009D29DD" w:rsidSect="00ED429C">
          <w:headerReference w:type="default" r:id="rId6"/>
          <w:footerReference w:type="even" r:id="rId7"/>
          <w:footerReference w:type="default" r:id="rId8"/>
          <w:pgSz w:w="11900" w:h="16840"/>
          <w:pgMar w:top="1800" w:right="1440" w:bottom="1800" w:left="1440" w:header="708" w:footer="708" w:gutter="0"/>
          <w:pgNumType w:start="1"/>
          <w:cols w:space="720"/>
        </w:sectPr>
      </w:pPr>
      <w:r w:rsidRPr="009D29DD">
        <w:rPr>
          <w:rFonts w:ascii="Calibri" w:eastAsia="Calibri" w:hAnsi="Calibri" w:cs="Calibri"/>
          <w:color w:val="000000"/>
        </w:rPr>
        <w:t>The following table provides an</w:t>
      </w:r>
      <w:r w:rsidR="00F17CD1">
        <w:rPr>
          <w:rFonts w:ascii="Calibri" w:eastAsia="Calibri" w:hAnsi="Calibri" w:cs="Calibri"/>
          <w:color w:val="000000"/>
        </w:rPr>
        <w:t xml:space="preserve"> initial overview on</w:t>
      </w:r>
      <w:r w:rsidRPr="009D29DD">
        <w:rPr>
          <w:rFonts w:ascii="Calibri" w:eastAsia="Calibri" w:hAnsi="Calibri" w:cs="Calibri"/>
          <w:color w:val="000000"/>
        </w:rPr>
        <w:t xml:space="preserve"> the potential national implications </w:t>
      </w:r>
      <w:r w:rsidR="00F17CD1">
        <w:rPr>
          <w:rFonts w:ascii="Calibri" w:eastAsia="Calibri" w:hAnsi="Calibri" w:cs="Calibri"/>
          <w:color w:val="000000"/>
        </w:rPr>
        <w:t xml:space="preserve">of </w:t>
      </w:r>
      <w:r w:rsidRPr="009D29DD">
        <w:rPr>
          <w:rFonts w:ascii="Calibri" w:eastAsia="Calibri" w:hAnsi="Calibri" w:cs="Calibri"/>
          <w:color w:val="000000"/>
        </w:rPr>
        <w:t xml:space="preserve">the Paris Agreement and the subsequent decisions on its implementation adopted in Katowice (the so called Rulebook) may have for developing country Parties’ to meet </w:t>
      </w:r>
      <w:r w:rsidR="009D29DD" w:rsidRPr="009D29DD">
        <w:rPr>
          <w:rFonts w:ascii="Calibri" w:eastAsia="Calibri" w:hAnsi="Calibri" w:cs="Calibri"/>
          <w:color w:val="000000"/>
        </w:rPr>
        <w:t xml:space="preserve">their </w:t>
      </w:r>
      <w:r w:rsidRPr="009D29DD">
        <w:rPr>
          <w:rFonts w:ascii="Calibri" w:eastAsia="Calibri" w:hAnsi="Calibri" w:cs="Calibri"/>
          <w:color w:val="000000"/>
        </w:rPr>
        <w:t xml:space="preserve">commitments </w:t>
      </w:r>
      <w:r w:rsidR="009D29DD" w:rsidRPr="009D29DD">
        <w:rPr>
          <w:rFonts w:ascii="Calibri" w:eastAsia="Calibri" w:hAnsi="Calibri" w:cs="Calibri"/>
          <w:color w:val="000000"/>
        </w:rPr>
        <w:t>under the Paris Agreement, benefit from its provisions and contribute to its further development.</w:t>
      </w:r>
    </w:p>
    <w:p w14:paraId="35A44DBF" w14:textId="7C2BDBDD" w:rsidR="00837EB7" w:rsidRDefault="00837EB7">
      <w:pPr>
        <w:pBdr>
          <w:top w:val="nil"/>
          <w:left w:val="nil"/>
          <w:bottom w:val="nil"/>
          <w:right w:val="nil"/>
          <w:between w:val="nil"/>
        </w:pBdr>
        <w:jc w:val="both"/>
        <w:rPr>
          <w:rFonts w:ascii="Calibri" w:eastAsia="Calibri" w:hAnsi="Calibri" w:cs="Calibri"/>
          <w:color w:val="000000"/>
          <w:sz w:val="22"/>
          <w:szCs w:val="22"/>
        </w:rPr>
      </w:pPr>
    </w:p>
    <w:p w14:paraId="7B475A65" w14:textId="77777777" w:rsidR="00837EB7" w:rsidRDefault="00837EB7">
      <w:pPr>
        <w:pBdr>
          <w:top w:val="nil"/>
          <w:left w:val="nil"/>
          <w:bottom w:val="nil"/>
          <w:right w:val="nil"/>
          <w:between w:val="nil"/>
        </w:pBdr>
        <w:jc w:val="both"/>
        <w:rPr>
          <w:rFonts w:ascii="Calibri" w:eastAsia="Calibri" w:hAnsi="Calibri" w:cs="Calibri"/>
          <w:color w:val="000000"/>
          <w:sz w:val="22"/>
          <w:szCs w:val="22"/>
        </w:rPr>
      </w:pPr>
    </w:p>
    <w:tbl>
      <w:tblPr>
        <w:tblStyle w:val="a0"/>
        <w:tblW w:w="139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94"/>
        <w:gridCol w:w="3685"/>
        <w:gridCol w:w="3686"/>
        <w:gridCol w:w="3875"/>
      </w:tblGrid>
      <w:tr w:rsidR="00E57B69" w14:paraId="3C9701E6" w14:textId="77777777">
        <w:trPr>
          <w:trHeight w:val="20"/>
        </w:trPr>
        <w:tc>
          <w:tcPr>
            <w:tcW w:w="2694" w:type="dxa"/>
          </w:tcPr>
          <w:p w14:paraId="2B018CF1" w14:textId="77777777" w:rsidR="00E57B69" w:rsidRDefault="00470786">
            <w:pPr>
              <w:widowControl w:val="0"/>
              <w:jc w:val="center"/>
              <w:rPr>
                <w:rFonts w:ascii="Calibri" w:eastAsia="Calibri" w:hAnsi="Calibri" w:cs="Calibri"/>
                <w:b/>
              </w:rPr>
            </w:pPr>
            <w:r>
              <w:rPr>
                <w:rFonts w:ascii="Calibri" w:eastAsia="Calibri" w:hAnsi="Calibri" w:cs="Calibri"/>
                <w:b/>
                <w:sz w:val="22"/>
                <w:szCs w:val="22"/>
              </w:rPr>
              <w:t>Commitments under the Paris Agreement</w:t>
            </w:r>
          </w:p>
        </w:tc>
        <w:tc>
          <w:tcPr>
            <w:tcW w:w="3685" w:type="dxa"/>
            <w:tcMar>
              <w:left w:w="108" w:type="dxa"/>
              <w:right w:w="108" w:type="dxa"/>
            </w:tcMar>
          </w:tcPr>
          <w:p w14:paraId="7588BDCF" w14:textId="77777777" w:rsidR="00E57B69" w:rsidRDefault="00470786">
            <w:pPr>
              <w:widowControl w:val="0"/>
              <w:jc w:val="center"/>
              <w:rPr>
                <w:rFonts w:ascii="Calibri" w:eastAsia="Calibri" w:hAnsi="Calibri" w:cs="Calibri"/>
                <w:b/>
              </w:rPr>
            </w:pPr>
            <w:r>
              <w:rPr>
                <w:rFonts w:ascii="Calibri" w:eastAsia="Calibri" w:hAnsi="Calibri" w:cs="Calibri"/>
                <w:b/>
                <w:sz w:val="22"/>
                <w:szCs w:val="22"/>
              </w:rPr>
              <w:t>Further tasks to “operationalize” the Paris Agreement</w:t>
            </w:r>
          </w:p>
        </w:tc>
        <w:tc>
          <w:tcPr>
            <w:tcW w:w="3686" w:type="dxa"/>
            <w:tcMar>
              <w:left w:w="108" w:type="dxa"/>
              <w:right w:w="108" w:type="dxa"/>
            </w:tcMar>
          </w:tcPr>
          <w:p w14:paraId="19E69A40" w14:textId="77777777" w:rsidR="00E57B69" w:rsidRDefault="00470786">
            <w:pPr>
              <w:widowControl w:val="0"/>
              <w:jc w:val="center"/>
              <w:rPr>
                <w:rFonts w:ascii="Calibri" w:eastAsia="Calibri" w:hAnsi="Calibri" w:cs="Calibri"/>
                <w:b/>
              </w:rPr>
            </w:pPr>
            <w:r>
              <w:rPr>
                <w:rFonts w:ascii="Calibri" w:eastAsia="Calibri" w:hAnsi="Calibri" w:cs="Calibri"/>
                <w:b/>
                <w:sz w:val="22"/>
                <w:szCs w:val="22"/>
              </w:rPr>
              <w:t>Outcomes of the Katowice conference as part of the ”Rulebook”</w:t>
            </w:r>
          </w:p>
        </w:tc>
        <w:tc>
          <w:tcPr>
            <w:tcW w:w="3875" w:type="dxa"/>
            <w:tcMar>
              <w:left w:w="108" w:type="dxa"/>
              <w:right w:w="108" w:type="dxa"/>
            </w:tcMar>
          </w:tcPr>
          <w:p w14:paraId="3EB83A07" w14:textId="05158297" w:rsidR="00E57B69" w:rsidRDefault="009D29DD" w:rsidP="009D29DD">
            <w:pPr>
              <w:widowControl w:val="0"/>
              <w:jc w:val="center"/>
              <w:rPr>
                <w:rFonts w:ascii="Calibri" w:eastAsia="Calibri" w:hAnsi="Calibri" w:cs="Calibri"/>
                <w:b/>
              </w:rPr>
            </w:pPr>
            <w:r>
              <w:rPr>
                <w:rFonts w:ascii="Calibri" w:eastAsia="Calibri" w:hAnsi="Calibri" w:cs="Calibri"/>
                <w:b/>
                <w:sz w:val="22"/>
                <w:szCs w:val="22"/>
              </w:rPr>
              <w:t xml:space="preserve">National relevance and </w:t>
            </w:r>
            <w:r w:rsidR="004B59EA">
              <w:rPr>
                <w:rFonts w:ascii="Calibri" w:eastAsia="Calibri" w:hAnsi="Calibri" w:cs="Calibri"/>
                <w:b/>
                <w:sz w:val="22"/>
                <w:szCs w:val="22"/>
              </w:rPr>
              <w:t>implications</w:t>
            </w:r>
          </w:p>
        </w:tc>
      </w:tr>
      <w:tr w:rsidR="00E57B69" w14:paraId="4DCA73EF" w14:textId="77777777">
        <w:trPr>
          <w:trHeight w:val="20"/>
        </w:trPr>
        <w:tc>
          <w:tcPr>
            <w:tcW w:w="13940" w:type="dxa"/>
            <w:gridSpan w:val="4"/>
            <w:shd w:val="clear" w:color="auto" w:fill="D9D9D9"/>
          </w:tcPr>
          <w:p w14:paraId="0830A8DA" w14:textId="77777777" w:rsidR="00E57B69" w:rsidRDefault="00470786">
            <w:pPr>
              <w:widowControl w:val="0"/>
              <w:rPr>
                <w:rFonts w:ascii="Calibri" w:eastAsia="Calibri" w:hAnsi="Calibri" w:cs="Calibri"/>
                <w:b/>
              </w:rPr>
            </w:pPr>
            <w:r>
              <w:rPr>
                <w:rFonts w:ascii="Calibri" w:eastAsia="Calibri" w:hAnsi="Calibri" w:cs="Calibri"/>
                <w:b/>
                <w:sz w:val="22"/>
                <w:szCs w:val="22"/>
              </w:rPr>
              <w:t>Mitigation</w:t>
            </w:r>
          </w:p>
        </w:tc>
      </w:tr>
      <w:tr w:rsidR="00E57B69" w14:paraId="3F560A9B" w14:textId="77777777" w:rsidTr="003F1F48">
        <w:trPr>
          <w:trHeight w:val="20"/>
        </w:trPr>
        <w:tc>
          <w:tcPr>
            <w:tcW w:w="2694" w:type="dxa"/>
            <w:vMerge w:val="restart"/>
          </w:tcPr>
          <w:p w14:paraId="6ACE6F43" w14:textId="469E1ED0" w:rsidR="00E57B69" w:rsidRPr="00BA3FDE" w:rsidRDefault="006248DC">
            <w:pPr>
              <w:widowControl w:val="0"/>
              <w:rPr>
                <w:rFonts w:ascii="Calibri" w:eastAsia="Calibri" w:hAnsi="Calibri" w:cs="Calibri"/>
                <w:sz w:val="22"/>
                <w:szCs w:val="22"/>
              </w:rPr>
            </w:pPr>
            <w:r>
              <w:rPr>
                <w:rFonts w:ascii="Calibri" w:eastAsia="Calibri" w:hAnsi="Calibri" w:cs="Calibri"/>
                <w:sz w:val="22"/>
                <w:szCs w:val="22"/>
              </w:rPr>
              <w:t xml:space="preserve">PA </w:t>
            </w:r>
            <w:r w:rsidR="00470786" w:rsidRPr="00BA3FDE">
              <w:rPr>
                <w:rFonts w:ascii="Calibri" w:eastAsia="Calibri" w:hAnsi="Calibri" w:cs="Calibri"/>
                <w:sz w:val="22"/>
                <w:szCs w:val="22"/>
              </w:rPr>
              <w:t>Article 4: Parties shall submit increasingly ambitious Nationally Determined Contributions (NDCs) every 5 years</w:t>
            </w:r>
          </w:p>
          <w:p w14:paraId="0C8F5C92" w14:textId="77777777" w:rsidR="00E57B69" w:rsidRPr="00BA3FDE" w:rsidRDefault="00470786">
            <w:pPr>
              <w:widowControl w:val="0"/>
              <w:rPr>
                <w:rFonts w:ascii="Calibri" w:eastAsia="Calibri" w:hAnsi="Calibri" w:cs="Calibri"/>
                <w:b/>
                <w:sz w:val="22"/>
                <w:szCs w:val="22"/>
              </w:rPr>
            </w:pPr>
            <w:r w:rsidRPr="00BA3FDE">
              <w:rPr>
                <w:rFonts w:ascii="Calibri" w:eastAsia="Calibri" w:hAnsi="Calibri" w:cs="Calibri"/>
                <w:b/>
                <w:sz w:val="22"/>
                <w:szCs w:val="22"/>
              </w:rPr>
              <w:t xml:space="preserve"> </w:t>
            </w:r>
          </w:p>
        </w:tc>
        <w:tc>
          <w:tcPr>
            <w:tcW w:w="3685" w:type="dxa"/>
            <w:tcMar>
              <w:left w:w="108" w:type="dxa"/>
              <w:right w:w="108" w:type="dxa"/>
            </w:tcMar>
          </w:tcPr>
          <w:p w14:paraId="72DF10FF" w14:textId="539F5547" w:rsidR="00E57B69" w:rsidRPr="00BA3FDE" w:rsidRDefault="00470786">
            <w:pPr>
              <w:widowControl w:val="0"/>
              <w:rPr>
                <w:rFonts w:ascii="Calibri" w:eastAsia="Calibri" w:hAnsi="Calibri" w:cs="Calibri"/>
                <w:sz w:val="22"/>
                <w:szCs w:val="22"/>
              </w:rPr>
            </w:pPr>
            <w:r w:rsidRPr="00BA3FDE">
              <w:rPr>
                <w:rFonts w:ascii="Calibri" w:eastAsia="Calibri" w:hAnsi="Calibri" w:cs="Calibri"/>
                <w:sz w:val="22"/>
                <w:szCs w:val="22"/>
              </w:rPr>
              <w:t>Develop guidance on features of NDCs (COP decision 1/CP.21 accompanying the Paris Agreement para.26) at CMA1</w:t>
            </w:r>
            <w:r w:rsidR="009D4F0B">
              <w:rPr>
                <w:rFonts w:ascii="Calibri" w:eastAsia="Calibri" w:hAnsi="Calibri" w:cs="Calibri"/>
                <w:sz w:val="22"/>
                <w:szCs w:val="22"/>
              </w:rPr>
              <w:t xml:space="preserve"> (Katowice, 2018)</w:t>
            </w:r>
          </w:p>
        </w:tc>
        <w:tc>
          <w:tcPr>
            <w:tcW w:w="3686" w:type="dxa"/>
            <w:shd w:val="clear" w:color="auto" w:fill="auto"/>
            <w:tcMar>
              <w:left w:w="108" w:type="dxa"/>
              <w:right w:w="108" w:type="dxa"/>
            </w:tcMar>
          </w:tcPr>
          <w:p w14:paraId="729BFD2C" w14:textId="47A69018" w:rsidR="00E57B69" w:rsidRPr="00BA3FDE" w:rsidRDefault="00470786" w:rsidP="0041193A">
            <w:pPr>
              <w:widowControl w:val="0"/>
              <w:rPr>
                <w:rFonts w:ascii="Calibri" w:eastAsia="Calibri" w:hAnsi="Calibri" w:cs="Calibri"/>
                <w:sz w:val="22"/>
                <w:szCs w:val="22"/>
              </w:rPr>
            </w:pPr>
            <w:r w:rsidRPr="00BA3FDE">
              <w:rPr>
                <w:rFonts w:ascii="Calibri" w:eastAsia="Calibri" w:hAnsi="Calibri" w:cs="Calibri"/>
                <w:sz w:val="22"/>
                <w:szCs w:val="22"/>
              </w:rPr>
              <w:t xml:space="preserve">While noting that features are outlined in the PA – </w:t>
            </w:r>
            <w:r w:rsidR="000677A3">
              <w:rPr>
                <w:rFonts w:ascii="Calibri" w:eastAsia="Calibri" w:hAnsi="Calibri" w:cs="Calibri"/>
                <w:sz w:val="22"/>
                <w:szCs w:val="22"/>
              </w:rPr>
              <w:t>P</w:t>
            </w:r>
            <w:r w:rsidR="000677A3" w:rsidRPr="00BA3FDE">
              <w:rPr>
                <w:rFonts w:ascii="Calibri" w:eastAsia="Calibri" w:hAnsi="Calibri" w:cs="Calibri"/>
                <w:sz w:val="22"/>
                <w:szCs w:val="22"/>
              </w:rPr>
              <w:t xml:space="preserve">arties </w:t>
            </w:r>
            <w:r w:rsidRPr="00BA3FDE">
              <w:rPr>
                <w:rFonts w:ascii="Calibri" w:eastAsia="Calibri" w:hAnsi="Calibri" w:cs="Calibri"/>
                <w:sz w:val="22"/>
                <w:szCs w:val="22"/>
              </w:rPr>
              <w:t xml:space="preserve">did not decide on further guidance </w:t>
            </w:r>
            <w:r w:rsidR="0041193A" w:rsidRPr="00BA3FDE">
              <w:rPr>
                <w:rFonts w:ascii="Calibri" w:eastAsia="Calibri" w:hAnsi="Calibri" w:cs="Calibri"/>
                <w:sz w:val="22"/>
                <w:szCs w:val="22"/>
              </w:rPr>
              <w:t>(4/CMA.1, para.19)</w:t>
            </w:r>
            <w:r w:rsidR="006741F1" w:rsidRPr="00BA3FDE">
              <w:rPr>
                <w:rStyle w:val="FootnoteReference"/>
                <w:rFonts w:ascii="Calibri" w:eastAsia="Calibri" w:hAnsi="Calibri" w:cs="Calibri"/>
                <w:sz w:val="22"/>
                <w:szCs w:val="22"/>
              </w:rPr>
              <w:footnoteReference w:id="1"/>
            </w:r>
          </w:p>
        </w:tc>
        <w:tc>
          <w:tcPr>
            <w:tcW w:w="3875" w:type="dxa"/>
            <w:tcMar>
              <w:left w:w="108" w:type="dxa"/>
              <w:right w:w="108" w:type="dxa"/>
            </w:tcMar>
          </w:tcPr>
          <w:p w14:paraId="73F21806" w14:textId="77777777" w:rsidR="00961FF0" w:rsidRDefault="008D51BB" w:rsidP="00F439C5">
            <w:pPr>
              <w:widowControl w:val="0"/>
              <w:rPr>
                <w:rFonts w:ascii="Calibri" w:eastAsia="Calibri" w:hAnsi="Calibri" w:cs="Calibri"/>
                <w:sz w:val="22"/>
                <w:szCs w:val="22"/>
              </w:rPr>
            </w:pPr>
            <w:r w:rsidRPr="008D51BB">
              <w:rPr>
                <w:rFonts w:ascii="Calibri" w:eastAsia="Calibri" w:hAnsi="Calibri" w:cs="Calibri"/>
                <w:sz w:val="22"/>
                <w:szCs w:val="22"/>
              </w:rPr>
              <w:t xml:space="preserve">To control greenhouse gas emissions </w:t>
            </w:r>
            <w:r w:rsidR="00DF0894">
              <w:rPr>
                <w:rFonts w:ascii="Calibri" w:eastAsia="Calibri" w:hAnsi="Calibri" w:cs="Calibri"/>
                <w:sz w:val="22"/>
                <w:szCs w:val="22"/>
              </w:rPr>
              <w:t xml:space="preserve">countries </w:t>
            </w:r>
            <w:r w:rsidRPr="008D51BB">
              <w:rPr>
                <w:rFonts w:ascii="Calibri" w:eastAsia="Calibri" w:hAnsi="Calibri" w:cs="Calibri"/>
                <w:sz w:val="22"/>
                <w:szCs w:val="22"/>
              </w:rPr>
              <w:t>will have to revise and develop rules and regulations in various areas such as air pollution, energy, industry or transport depending on the</w:t>
            </w:r>
            <w:r w:rsidR="00DF0894">
              <w:rPr>
                <w:rFonts w:ascii="Calibri" w:eastAsia="Calibri" w:hAnsi="Calibri" w:cs="Calibri"/>
                <w:sz w:val="22"/>
                <w:szCs w:val="22"/>
              </w:rPr>
              <w:t>ir</w:t>
            </w:r>
            <w:r w:rsidRPr="008D51BB">
              <w:rPr>
                <w:rFonts w:ascii="Calibri" w:eastAsia="Calibri" w:hAnsi="Calibri" w:cs="Calibri"/>
                <w:sz w:val="22"/>
                <w:szCs w:val="22"/>
              </w:rPr>
              <w:t xml:space="preserve"> NDC</w:t>
            </w:r>
            <w:r w:rsidR="00DF0894">
              <w:rPr>
                <w:rFonts w:ascii="Calibri" w:eastAsia="Calibri" w:hAnsi="Calibri" w:cs="Calibri"/>
                <w:sz w:val="22"/>
                <w:szCs w:val="22"/>
              </w:rPr>
              <w:t>s</w:t>
            </w:r>
            <w:r w:rsidRPr="008D51BB">
              <w:rPr>
                <w:rFonts w:ascii="Calibri" w:eastAsia="Calibri" w:hAnsi="Calibri" w:cs="Calibri"/>
                <w:sz w:val="22"/>
                <w:szCs w:val="22"/>
              </w:rPr>
              <w:t xml:space="preserve">, </w:t>
            </w:r>
            <w:r w:rsidR="00DF0894">
              <w:rPr>
                <w:rFonts w:ascii="Calibri" w:eastAsia="Calibri" w:hAnsi="Calibri" w:cs="Calibri"/>
                <w:sz w:val="22"/>
                <w:szCs w:val="22"/>
              </w:rPr>
              <w:t xml:space="preserve">the </w:t>
            </w:r>
            <w:r w:rsidRPr="008D51BB">
              <w:rPr>
                <w:rFonts w:ascii="Calibri" w:eastAsia="Calibri" w:hAnsi="Calibri" w:cs="Calibri"/>
                <w:sz w:val="22"/>
                <w:szCs w:val="22"/>
              </w:rPr>
              <w:t>national context and political priorities</w:t>
            </w:r>
            <w:r w:rsidR="00DF0894">
              <w:rPr>
                <w:rFonts w:ascii="Calibri" w:eastAsia="Calibri" w:hAnsi="Calibri" w:cs="Calibri"/>
                <w:sz w:val="22"/>
                <w:szCs w:val="22"/>
              </w:rPr>
              <w:t>.</w:t>
            </w:r>
            <w:r w:rsidRPr="008D51BB">
              <w:rPr>
                <w:rFonts w:ascii="Calibri" w:eastAsia="Calibri" w:hAnsi="Calibri" w:cs="Calibri"/>
                <w:sz w:val="22"/>
                <w:szCs w:val="22"/>
              </w:rPr>
              <w:t xml:space="preserve"> </w:t>
            </w:r>
          </w:p>
          <w:p w14:paraId="529E6A60" w14:textId="77777777" w:rsidR="00C468FD" w:rsidRDefault="00C468FD" w:rsidP="00F439C5">
            <w:pPr>
              <w:widowControl w:val="0"/>
              <w:rPr>
                <w:rFonts w:ascii="Calibri" w:eastAsia="Calibri" w:hAnsi="Calibri" w:cs="Calibri"/>
                <w:sz w:val="22"/>
                <w:szCs w:val="22"/>
              </w:rPr>
            </w:pPr>
          </w:p>
          <w:p w14:paraId="654C689C" w14:textId="46A41D82" w:rsidR="00E57B69" w:rsidRPr="00BA3FDE" w:rsidRDefault="00F439C5" w:rsidP="004B59EA">
            <w:pPr>
              <w:widowControl w:val="0"/>
              <w:rPr>
                <w:rFonts w:ascii="Calibri" w:eastAsia="Calibri" w:hAnsi="Calibri" w:cs="Calibri"/>
                <w:sz w:val="22"/>
                <w:szCs w:val="22"/>
              </w:rPr>
            </w:pPr>
            <w:r w:rsidRPr="00F439C5">
              <w:rPr>
                <w:rFonts w:ascii="Calibri" w:eastAsia="Calibri" w:hAnsi="Calibri" w:cs="Calibri"/>
                <w:sz w:val="22"/>
                <w:szCs w:val="22"/>
              </w:rPr>
              <w:t>Further guidance on features of NDCs to be considered in 2024</w:t>
            </w:r>
            <w:r w:rsidR="009D29DD">
              <w:rPr>
                <w:rFonts w:ascii="Calibri" w:eastAsia="Calibri" w:hAnsi="Calibri" w:cs="Calibri"/>
                <w:sz w:val="22"/>
                <w:szCs w:val="22"/>
              </w:rPr>
              <w:t>.</w:t>
            </w:r>
          </w:p>
        </w:tc>
      </w:tr>
      <w:tr w:rsidR="00E57B69" w14:paraId="2D02B62E" w14:textId="77777777">
        <w:trPr>
          <w:trHeight w:val="20"/>
        </w:trPr>
        <w:tc>
          <w:tcPr>
            <w:tcW w:w="2694" w:type="dxa"/>
            <w:vMerge/>
          </w:tcPr>
          <w:p w14:paraId="62E19F4B" w14:textId="77777777" w:rsidR="00E57B69" w:rsidRPr="00BA3FDE" w:rsidRDefault="00E57B69">
            <w:pPr>
              <w:widowControl w:val="0"/>
              <w:pBdr>
                <w:top w:val="nil"/>
                <w:left w:val="nil"/>
                <w:bottom w:val="nil"/>
                <w:right w:val="nil"/>
                <w:between w:val="nil"/>
              </w:pBdr>
              <w:spacing w:line="276" w:lineRule="auto"/>
              <w:rPr>
                <w:rFonts w:ascii="Calibri" w:eastAsia="Calibri" w:hAnsi="Calibri" w:cs="Calibri"/>
                <w:sz w:val="22"/>
                <w:szCs w:val="22"/>
              </w:rPr>
            </w:pPr>
          </w:p>
        </w:tc>
        <w:tc>
          <w:tcPr>
            <w:tcW w:w="3685" w:type="dxa"/>
            <w:tcMar>
              <w:left w:w="108" w:type="dxa"/>
              <w:right w:w="108" w:type="dxa"/>
            </w:tcMar>
          </w:tcPr>
          <w:p w14:paraId="04A8E8ED" w14:textId="3045608A" w:rsidR="00E57B69" w:rsidRPr="00BA3FDE" w:rsidRDefault="00470786">
            <w:pPr>
              <w:widowControl w:val="0"/>
              <w:rPr>
                <w:rFonts w:ascii="Calibri" w:eastAsia="Calibri" w:hAnsi="Calibri" w:cs="Calibri"/>
                <w:sz w:val="22"/>
                <w:szCs w:val="22"/>
              </w:rPr>
            </w:pPr>
            <w:r w:rsidRPr="00BA3FDE">
              <w:rPr>
                <w:rFonts w:ascii="Calibri" w:eastAsia="Calibri" w:hAnsi="Calibri" w:cs="Calibri"/>
                <w:sz w:val="22"/>
                <w:szCs w:val="22"/>
              </w:rPr>
              <w:t>Guidance on information to facilitate clarity, transparency and understanding (ICTU) of NDCs (1/CP.21 para.28) at CMA1</w:t>
            </w:r>
            <w:r w:rsidR="009D4F0B">
              <w:rPr>
                <w:rFonts w:ascii="Calibri" w:eastAsia="Calibri" w:hAnsi="Calibri" w:cs="Calibri"/>
                <w:sz w:val="22"/>
                <w:szCs w:val="22"/>
              </w:rPr>
              <w:t xml:space="preserve"> (Katowice, 2018)</w:t>
            </w:r>
          </w:p>
        </w:tc>
        <w:tc>
          <w:tcPr>
            <w:tcW w:w="3686" w:type="dxa"/>
            <w:tcMar>
              <w:left w:w="108" w:type="dxa"/>
              <w:right w:w="108" w:type="dxa"/>
            </w:tcMar>
          </w:tcPr>
          <w:p w14:paraId="5EFC760E" w14:textId="6F23254A" w:rsidR="00E57B69" w:rsidRPr="00BA3FDE" w:rsidRDefault="00470786" w:rsidP="000D2F16">
            <w:pPr>
              <w:widowControl w:val="0"/>
              <w:rPr>
                <w:rFonts w:ascii="Calibri" w:eastAsia="Calibri" w:hAnsi="Calibri" w:cs="Calibri"/>
                <w:sz w:val="22"/>
                <w:szCs w:val="22"/>
              </w:rPr>
            </w:pPr>
            <w:r w:rsidRPr="00BA3FDE">
              <w:rPr>
                <w:rFonts w:ascii="Calibri" w:eastAsia="Calibri" w:hAnsi="Calibri" w:cs="Calibri"/>
                <w:sz w:val="22"/>
                <w:szCs w:val="22"/>
              </w:rPr>
              <w:t>Guidance on ICTU agreed, must be applied to 2</w:t>
            </w:r>
            <w:r w:rsidRPr="00BA3FDE">
              <w:rPr>
                <w:rFonts w:ascii="Calibri" w:eastAsia="Calibri" w:hAnsi="Calibri" w:cs="Calibri"/>
                <w:sz w:val="22"/>
                <w:szCs w:val="22"/>
                <w:vertAlign w:val="superscript"/>
              </w:rPr>
              <w:t>nd</w:t>
            </w:r>
            <w:r w:rsidRPr="00BA3FDE">
              <w:rPr>
                <w:rFonts w:ascii="Calibri" w:eastAsia="Calibri" w:hAnsi="Calibri" w:cs="Calibri"/>
                <w:sz w:val="22"/>
                <w:szCs w:val="22"/>
              </w:rPr>
              <w:t xml:space="preserve"> and following NDCs</w:t>
            </w:r>
            <w:r w:rsidR="000D2F16">
              <w:rPr>
                <w:rFonts w:ascii="Calibri" w:eastAsia="Calibri" w:hAnsi="Calibri" w:cs="Calibri"/>
                <w:sz w:val="22"/>
                <w:szCs w:val="22"/>
              </w:rPr>
              <w:t xml:space="preserve">. </w:t>
            </w:r>
            <w:r w:rsidR="000677A3">
              <w:rPr>
                <w:rFonts w:ascii="Calibri" w:eastAsia="Calibri" w:hAnsi="Calibri" w:cs="Calibri"/>
                <w:sz w:val="22"/>
                <w:szCs w:val="22"/>
              </w:rPr>
              <w:t xml:space="preserve">Parties are strongly encouraged to include this in NDCs submitted in 2020 </w:t>
            </w:r>
            <w:r w:rsidR="0041193A" w:rsidRPr="00BA3FDE">
              <w:rPr>
                <w:rFonts w:ascii="Calibri" w:eastAsia="Calibri" w:hAnsi="Calibri" w:cs="Calibri"/>
                <w:sz w:val="22"/>
                <w:szCs w:val="22"/>
              </w:rPr>
              <w:t>(4/CMA.1, para.7)</w:t>
            </w:r>
          </w:p>
        </w:tc>
        <w:tc>
          <w:tcPr>
            <w:tcW w:w="3875" w:type="dxa"/>
            <w:tcMar>
              <w:left w:w="108" w:type="dxa"/>
              <w:right w:w="108" w:type="dxa"/>
            </w:tcMar>
          </w:tcPr>
          <w:p w14:paraId="1649EC80" w14:textId="4AC4B1E0" w:rsidR="00E57B69" w:rsidRPr="00BA3FDE" w:rsidRDefault="00945E9D" w:rsidP="000D2F16">
            <w:pPr>
              <w:widowControl w:val="0"/>
              <w:rPr>
                <w:rFonts w:ascii="Calibri" w:eastAsia="Calibri" w:hAnsi="Calibri" w:cs="Calibri"/>
                <w:sz w:val="22"/>
                <w:szCs w:val="22"/>
              </w:rPr>
            </w:pPr>
            <w:r w:rsidRPr="000D2F16">
              <w:rPr>
                <w:rFonts w:ascii="Calibri" w:eastAsia="Calibri" w:hAnsi="Calibri" w:cs="Calibri"/>
                <w:sz w:val="22"/>
                <w:szCs w:val="22"/>
              </w:rPr>
              <w:t>Improving emissions data collection, monitoring and reporting</w:t>
            </w:r>
            <w:r w:rsidR="000D2F16">
              <w:rPr>
                <w:rFonts w:ascii="Calibri" w:eastAsia="Calibri" w:hAnsi="Calibri" w:cs="Calibri"/>
                <w:sz w:val="22"/>
                <w:szCs w:val="22"/>
              </w:rPr>
              <w:t xml:space="preserve">; and strengthening </w:t>
            </w:r>
            <w:r w:rsidR="009D4F0B">
              <w:rPr>
                <w:rFonts w:ascii="Calibri" w:eastAsia="Calibri" w:hAnsi="Calibri" w:cs="Calibri"/>
                <w:sz w:val="22"/>
                <w:szCs w:val="22"/>
              </w:rPr>
              <w:t xml:space="preserve">capacity to comply with the </w:t>
            </w:r>
            <w:r w:rsidR="000D2F16">
              <w:rPr>
                <w:rFonts w:ascii="Calibri" w:eastAsia="Calibri" w:hAnsi="Calibri" w:cs="Calibri"/>
                <w:sz w:val="22"/>
                <w:szCs w:val="22"/>
              </w:rPr>
              <w:t>reporting requirements</w:t>
            </w:r>
            <w:r w:rsidR="009D4F0B">
              <w:rPr>
                <w:rFonts w:ascii="Calibri" w:eastAsia="Calibri" w:hAnsi="Calibri" w:cs="Calibri"/>
                <w:sz w:val="22"/>
                <w:szCs w:val="22"/>
              </w:rPr>
              <w:t>, including in the areas of base years, time frames for implementation, scope of the inventory, implementing and tracking the planning process, making assumptions and choosing methodologies, and justifying an NDC</w:t>
            </w:r>
            <w:r w:rsidR="00F22452">
              <w:rPr>
                <w:rFonts w:ascii="Calibri" w:eastAsia="Calibri" w:hAnsi="Calibri" w:cs="Calibri"/>
                <w:sz w:val="22"/>
                <w:szCs w:val="22"/>
              </w:rPr>
              <w:t>’</w:t>
            </w:r>
            <w:r w:rsidR="009D4F0B">
              <w:rPr>
                <w:rFonts w:ascii="Calibri" w:eastAsia="Calibri" w:hAnsi="Calibri" w:cs="Calibri"/>
                <w:sz w:val="22"/>
                <w:szCs w:val="22"/>
              </w:rPr>
              <w:t>s fairness and ambition toward meeting the objectives of the Paris Agreement.</w:t>
            </w:r>
          </w:p>
        </w:tc>
      </w:tr>
      <w:tr w:rsidR="00E57B69" w14:paraId="27C1181A" w14:textId="77777777" w:rsidTr="003F1F48">
        <w:trPr>
          <w:trHeight w:val="20"/>
        </w:trPr>
        <w:tc>
          <w:tcPr>
            <w:tcW w:w="2694" w:type="dxa"/>
            <w:vMerge/>
          </w:tcPr>
          <w:p w14:paraId="5C13C7B8" w14:textId="77777777" w:rsidR="00E57B69" w:rsidRPr="00BA3FDE" w:rsidRDefault="00E57B69">
            <w:pPr>
              <w:widowControl w:val="0"/>
              <w:pBdr>
                <w:top w:val="nil"/>
                <w:left w:val="nil"/>
                <w:bottom w:val="nil"/>
                <w:right w:val="nil"/>
                <w:between w:val="nil"/>
              </w:pBdr>
              <w:spacing w:line="276" w:lineRule="auto"/>
              <w:rPr>
                <w:rFonts w:ascii="Calibri" w:eastAsia="Calibri" w:hAnsi="Calibri" w:cs="Calibri"/>
                <w:sz w:val="22"/>
                <w:szCs w:val="22"/>
              </w:rPr>
            </w:pPr>
          </w:p>
        </w:tc>
        <w:tc>
          <w:tcPr>
            <w:tcW w:w="3685" w:type="dxa"/>
            <w:tcMar>
              <w:left w:w="108" w:type="dxa"/>
              <w:right w:w="108" w:type="dxa"/>
            </w:tcMar>
          </w:tcPr>
          <w:p w14:paraId="7DE1C2D8" w14:textId="4EFBE390" w:rsidR="00E57B69" w:rsidRPr="00BA3FDE" w:rsidRDefault="00470786">
            <w:pPr>
              <w:widowControl w:val="0"/>
              <w:rPr>
                <w:rFonts w:ascii="Calibri" w:eastAsia="Calibri" w:hAnsi="Calibri" w:cs="Calibri"/>
                <w:sz w:val="22"/>
                <w:szCs w:val="22"/>
              </w:rPr>
            </w:pPr>
            <w:r w:rsidRPr="00BA3FDE">
              <w:rPr>
                <w:rFonts w:ascii="Calibri" w:eastAsia="Calibri" w:hAnsi="Calibri" w:cs="Calibri"/>
                <w:sz w:val="22"/>
                <w:szCs w:val="22"/>
              </w:rPr>
              <w:t xml:space="preserve">Modalities and procedures for the </w:t>
            </w:r>
            <w:r w:rsidRPr="00BA3FDE">
              <w:rPr>
                <w:rFonts w:ascii="Calibri" w:eastAsia="Calibri" w:hAnsi="Calibri" w:cs="Calibri"/>
                <w:sz w:val="22"/>
                <w:szCs w:val="22"/>
              </w:rPr>
              <w:lastRenderedPageBreak/>
              <w:t>public registry that will house NDCs (1/CP.21 para.29) at CMA1</w:t>
            </w:r>
            <w:r w:rsidR="009D4F0B">
              <w:rPr>
                <w:rFonts w:ascii="Calibri" w:eastAsia="Calibri" w:hAnsi="Calibri" w:cs="Calibri"/>
                <w:sz w:val="22"/>
                <w:szCs w:val="22"/>
              </w:rPr>
              <w:t xml:space="preserve"> (Katowice, 2018)</w:t>
            </w:r>
          </w:p>
        </w:tc>
        <w:tc>
          <w:tcPr>
            <w:tcW w:w="3686" w:type="dxa"/>
            <w:shd w:val="clear" w:color="auto" w:fill="auto"/>
            <w:tcMar>
              <w:left w:w="108" w:type="dxa"/>
              <w:right w:w="108" w:type="dxa"/>
            </w:tcMar>
          </w:tcPr>
          <w:p w14:paraId="58FCD2FA" w14:textId="77777777" w:rsidR="00E57B69" w:rsidRPr="00BA3FDE" w:rsidRDefault="00470786">
            <w:pPr>
              <w:widowControl w:val="0"/>
              <w:rPr>
                <w:rFonts w:ascii="Calibri" w:eastAsia="Calibri" w:hAnsi="Calibri" w:cs="Calibri"/>
                <w:sz w:val="22"/>
                <w:szCs w:val="22"/>
              </w:rPr>
            </w:pPr>
            <w:r w:rsidRPr="00BA3FDE">
              <w:rPr>
                <w:rFonts w:ascii="Calibri" w:eastAsia="Calibri" w:hAnsi="Calibri" w:cs="Calibri"/>
                <w:sz w:val="22"/>
                <w:szCs w:val="22"/>
              </w:rPr>
              <w:lastRenderedPageBreak/>
              <w:t xml:space="preserve">Modalities and procedures based on </w:t>
            </w:r>
            <w:r w:rsidRPr="00BA3FDE">
              <w:rPr>
                <w:rFonts w:ascii="Calibri" w:eastAsia="Calibri" w:hAnsi="Calibri" w:cs="Calibri"/>
                <w:sz w:val="22"/>
                <w:szCs w:val="22"/>
              </w:rPr>
              <w:lastRenderedPageBreak/>
              <w:t>interim registry’s functioning agreed</w:t>
            </w:r>
            <w:r w:rsidR="0041193A" w:rsidRPr="00BA3FDE">
              <w:rPr>
                <w:rFonts w:ascii="Calibri" w:eastAsia="Calibri" w:hAnsi="Calibri" w:cs="Calibri"/>
                <w:sz w:val="22"/>
                <w:szCs w:val="22"/>
              </w:rPr>
              <w:t xml:space="preserve"> (5/CMA.1, para.1)</w:t>
            </w:r>
          </w:p>
        </w:tc>
        <w:tc>
          <w:tcPr>
            <w:tcW w:w="3875" w:type="dxa"/>
            <w:tcMar>
              <w:left w:w="108" w:type="dxa"/>
              <w:right w:w="108" w:type="dxa"/>
            </w:tcMar>
          </w:tcPr>
          <w:p w14:paraId="76369A0F" w14:textId="14D23A5B" w:rsidR="00E57B69" w:rsidRPr="00BA3FDE" w:rsidRDefault="00C468FD" w:rsidP="00945E9D">
            <w:pPr>
              <w:widowControl w:val="0"/>
              <w:rPr>
                <w:rFonts w:ascii="Calibri" w:eastAsia="Calibri" w:hAnsi="Calibri" w:cs="Calibri"/>
                <w:sz w:val="22"/>
                <w:szCs w:val="22"/>
              </w:rPr>
            </w:pPr>
            <w:r w:rsidRPr="00F439C5">
              <w:rPr>
                <w:rFonts w:ascii="Calibri" w:eastAsia="Calibri" w:hAnsi="Calibri" w:cs="Calibri"/>
                <w:sz w:val="22"/>
                <w:szCs w:val="22"/>
              </w:rPr>
              <w:lastRenderedPageBreak/>
              <w:t xml:space="preserve">NDCs to be logged in a public registry </w:t>
            </w:r>
            <w:r w:rsidRPr="00F439C5">
              <w:rPr>
                <w:rFonts w:ascii="Calibri" w:eastAsia="Calibri" w:hAnsi="Calibri" w:cs="Calibri"/>
                <w:sz w:val="22"/>
                <w:szCs w:val="22"/>
              </w:rPr>
              <w:lastRenderedPageBreak/>
              <w:t>manag</w:t>
            </w:r>
            <w:r w:rsidR="00945E9D">
              <w:rPr>
                <w:rFonts w:ascii="Calibri" w:eastAsia="Calibri" w:hAnsi="Calibri" w:cs="Calibri"/>
                <w:sz w:val="22"/>
                <w:szCs w:val="22"/>
              </w:rPr>
              <w:t>ed by the secretariat (</w:t>
            </w:r>
            <w:r w:rsidRPr="00F439C5">
              <w:rPr>
                <w:rFonts w:ascii="Calibri" w:eastAsia="Calibri" w:hAnsi="Calibri" w:cs="Calibri"/>
                <w:sz w:val="22"/>
                <w:szCs w:val="22"/>
              </w:rPr>
              <w:t>decision 5/CMA.1)</w:t>
            </w:r>
            <w:r w:rsidR="00945E9D">
              <w:rPr>
                <w:rFonts w:ascii="Calibri" w:eastAsia="Calibri" w:hAnsi="Calibri" w:cs="Calibri"/>
                <w:sz w:val="22"/>
                <w:szCs w:val="22"/>
              </w:rPr>
              <w:t xml:space="preserve"> based on interim registry – hence no significant changes in process.</w:t>
            </w:r>
            <w:r w:rsidR="00945E9D" w:rsidRPr="00BA3FDE">
              <w:rPr>
                <w:rFonts w:ascii="Calibri" w:eastAsia="Calibri" w:hAnsi="Calibri" w:cs="Calibri"/>
                <w:sz w:val="22"/>
                <w:szCs w:val="22"/>
              </w:rPr>
              <w:t xml:space="preserve"> </w:t>
            </w:r>
          </w:p>
        </w:tc>
      </w:tr>
      <w:tr w:rsidR="00E57B69" w14:paraId="4F3A2040" w14:textId="77777777" w:rsidTr="003F1F48">
        <w:trPr>
          <w:trHeight w:val="300"/>
        </w:trPr>
        <w:tc>
          <w:tcPr>
            <w:tcW w:w="2694" w:type="dxa"/>
            <w:vMerge/>
          </w:tcPr>
          <w:p w14:paraId="35C67197" w14:textId="77777777" w:rsidR="00E57B69" w:rsidRPr="00BA3FDE" w:rsidRDefault="00E57B69">
            <w:pPr>
              <w:widowControl w:val="0"/>
              <w:pBdr>
                <w:top w:val="nil"/>
                <w:left w:val="nil"/>
                <w:bottom w:val="nil"/>
                <w:right w:val="nil"/>
                <w:between w:val="nil"/>
              </w:pBdr>
              <w:spacing w:line="276" w:lineRule="auto"/>
              <w:rPr>
                <w:rFonts w:ascii="Calibri" w:eastAsia="Calibri" w:hAnsi="Calibri" w:cs="Calibri"/>
                <w:sz w:val="22"/>
                <w:szCs w:val="22"/>
              </w:rPr>
            </w:pPr>
          </w:p>
        </w:tc>
        <w:tc>
          <w:tcPr>
            <w:tcW w:w="3685" w:type="dxa"/>
            <w:tcMar>
              <w:left w:w="108" w:type="dxa"/>
              <w:right w:w="108" w:type="dxa"/>
            </w:tcMar>
          </w:tcPr>
          <w:p w14:paraId="19008706" w14:textId="029B67B3" w:rsidR="00E57B69" w:rsidRPr="00BA3FDE" w:rsidRDefault="00470786">
            <w:pPr>
              <w:widowControl w:val="0"/>
              <w:rPr>
                <w:rFonts w:ascii="Calibri" w:eastAsia="Calibri" w:hAnsi="Calibri" w:cs="Calibri"/>
                <w:sz w:val="22"/>
                <w:szCs w:val="22"/>
              </w:rPr>
            </w:pPr>
            <w:r w:rsidRPr="00BA3FDE">
              <w:rPr>
                <w:rFonts w:ascii="Calibri" w:eastAsia="Calibri" w:hAnsi="Calibri" w:cs="Calibri"/>
                <w:sz w:val="22"/>
                <w:szCs w:val="22"/>
              </w:rPr>
              <w:t>Consider common time frames for NDCs (PA Art.4.10) at CMA1</w:t>
            </w:r>
            <w:r w:rsidR="009D4F0B">
              <w:rPr>
                <w:rFonts w:ascii="Calibri" w:eastAsia="Calibri" w:hAnsi="Calibri" w:cs="Calibri"/>
                <w:sz w:val="22"/>
                <w:szCs w:val="22"/>
              </w:rPr>
              <w:t xml:space="preserve"> (Katowice, 2018)</w:t>
            </w:r>
          </w:p>
        </w:tc>
        <w:tc>
          <w:tcPr>
            <w:tcW w:w="3686" w:type="dxa"/>
            <w:shd w:val="clear" w:color="auto" w:fill="auto"/>
            <w:tcMar>
              <w:left w:w="108" w:type="dxa"/>
              <w:right w:w="108" w:type="dxa"/>
            </w:tcMar>
          </w:tcPr>
          <w:p w14:paraId="4448AA80" w14:textId="745B282F" w:rsidR="00E57B69" w:rsidRPr="00BA3FDE" w:rsidRDefault="00470786">
            <w:pPr>
              <w:widowControl w:val="0"/>
              <w:rPr>
                <w:rFonts w:ascii="Calibri" w:eastAsia="Calibri" w:hAnsi="Calibri" w:cs="Calibri"/>
                <w:sz w:val="22"/>
                <w:szCs w:val="22"/>
              </w:rPr>
            </w:pPr>
            <w:r w:rsidRPr="00BA3FDE">
              <w:rPr>
                <w:rFonts w:ascii="Calibri" w:eastAsia="Calibri" w:hAnsi="Calibri" w:cs="Calibri"/>
                <w:sz w:val="22"/>
                <w:szCs w:val="22"/>
              </w:rPr>
              <w:t xml:space="preserve">No decision on </w:t>
            </w:r>
            <w:r w:rsidR="0041193A" w:rsidRPr="00BA3FDE">
              <w:rPr>
                <w:rFonts w:ascii="Calibri" w:eastAsia="Calibri" w:hAnsi="Calibri" w:cs="Calibri"/>
                <w:sz w:val="22"/>
                <w:szCs w:val="22"/>
              </w:rPr>
              <w:t xml:space="preserve">what </w:t>
            </w:r>
            <w:r w:rsidRPr="00BA3FDE">
              <w:rPr>
                <w:rFonts w:ascii="Calibri" w:eastAsia="Calibri" w:hAnsi="Calibri" w:cs="Calibri"/>
                <w:sz w:val="22"/>
                <w:szCs w:val="22"/>
              </w:rPr>
              <w:t>time frames</w:t>
            </w:r>
            <w:r w:rsidR="0041193A" w:rsidRPr="00BA3FDE">
              <w:rPr>
                <w:rFonts w:ascii="Calibri" w:eastAsia="Calibri" w:hAnsi="Calibri" w:cs="Calibri"/>
                <w:sz w:val="22"/>
                <w:szCs w:val="22"/>
              </w:rPr>
              <w:t xml:space="preserve"> will be</w:t>
            </w:r>
            <w:r w:rsidRPr="00BA3FDE">
              <w:rPr>
                <w:rFonts w:ascii="Calibri" w:eastAsia="Calibri" w:hAnsi="Calibri" w:cs="Calibri"/>
                <w:sz w:val="22"/>
                <w:szCs w:val="22"/>
              </w:rPr>
              <w:t xml:space="preserve"> – e.g. whether NDCs cover 5 or 10 years</w:t>
            </w:r>
            <w:r w:rsidR="00C80334">
              <w:rPr>
                <w:rFonts w:ascii="Calibri" w:eastAsia="Calibri" w:hAnsi="Calibri" w:cs="Calibri"/>
                <w:sz w:val="22"/>
                <w:szCs w:val="22"/>
              </w:rPr>
              <w:t xml:space="preserve">. </w:t>
            </w:r>
            <w:r w:rsidR="00C80334" w:rsidRPr="00F439C5">
              <w:rPr>
                <w:rFonts w:ascii="Calibri" w:eastAsia="Calibri" w:hAnsi="Calibri" w:cs="Calibri"/>
                <w:sz w:val="22"/>
                <w:szCs w:val="22"/>
              </w:rPr>
              <w:t xml:space="preserve">A common time </w:t>
            </w:r>
            <w:r w:rsidR="00C80334">
              <w:rPr>
                <w:rFonts w:ascii="Calibri" w:eastAsia="Calibri" w:hAnsi="Calibri" w:cs="Calibri"/>
                <w:sz w:val="22"/>
                <w:szCs w:val="22"/>
              </w:rPr>
              <w:t>frame (but no indication which) should be</w:t>
            </w:r>
            <w:r w:rsidR="00C80334" w:rsidRPr="00F439C5">
              <w:rPr>
                <w:rFonts w:ascii="Calibri" w:eastAsia="Calibri" w:hAnsi="Calibri" w:cs="Calibri"/>
                <w:sz w:val="22"/>
                <w:szCs w:val="22"/>
              </w:rPr>
              <w:t xml:space="preserve"> applied </w:t>
            </w:r>
            <w:r w:rsidR="00C80334">
              <w:rPr>
                <w:rFonts w:ascii="Calibri" w:eastAsia="Calibri" w:hAnsi="Calibri" w:cs="Calibri"/>
                <w:sz w:val="22"/>
                <w:szCs w:val="22"/>
              </w:rPr>
              <w:t xml:space="preserve">to </w:t>
            </w:r>
            <w:r w:rsidR="00C80334" w:rsidRPr="00F439C5">
              <w:rPr>
                <w:rFonts w:ascii="Calibri" w:eastAsia="Calibri" w:hAnsi="Calibri" w:cs="Calibri"/>
                <w:sz w:val="22"/>
                <w:szCs w:val="22"/>
              </w:rPr>
              <w:t>NDCs from 2031 (decision 6/CMA.1)</w:t>
            </w:r>
            <w:r w:rsidR="00C80334">
              <w:rPr>
                <w:rFonts w:ascii="Calibri" w:eastAsia="Calibri" w:hAnsi="Calibri" w:cs="Calibri"/>
                <w:sz w:val="22"/>
                <w:szCs w:val="22"/>
              </w:rPr>
              <w:t>.</w:t>
            </w:r>
          </w:p>
        </w:tc>
        <w:tc>
          <w:tcPr>
            <w:tcW w:w="3875" w:type="dxa"/>
            <w:tcMar>
              <w:left w:w="108" w:type="dxa"/>
              <w:right w:w="108" w:type="dxa"/>
            </w:tcMar>
          </w:tcPr>
          <w:p w14:paraId="32C1C89E" w14:textId="410068F4" w:rsidR="00E57B69" w:rsidRPr="00BA3FDE" w:rsidRDefault="00C468FD" w:rsidP="00C468FD">
            <w:pPr>
              <w:widowControl w:val="0"/>
              <w:rPr>
                <w:rFonts w:ascii="Calibri" w:eastAsia="Calibri" w:hAnsi="Calibri" w:cs="Calibri"/>
                <w:sz w:val="22"/>
                <w:szCs w:val="22"/>
              </w:rPr>
            </w:pPr>
            <w:r>
              <w:rPr>
                <w:rFonts w:ascii="Calibri" w:eastAsia="Calibri" w:hAnsi="Calibri" w:cs="Calibri"/>
                <w:sz w:val="22"/>
                <w:szCs w:val="22"/>
              </w:rPr>
              <w:t>Parties</w:t>
            </w:r>
            <w:r w:rsidRPr="00C468FD">
              <w:rPr>
                <w:rFonts w:ascii="Calibri" w:eastAsia="Calibri" w:hAnsi="Calibri" w:cs="Calibri"/>
                <w:sz w:val="22"/>
                <w:szCs w:val="22"/>
              </w:rPr>
              <w:t xml:space="preserve"> will have to submit revised (for those ending in 2025) or updated (for those ending in 2030) NDCs in 2020, and again in 2025.</w:t>
            </w:r>
            <w:r>
              <w:rPr>
                <w:rFonts w:ascii="Calibri" w:eastAsia="Calibri" w:hAnsi="Calibri" w:cs="Calibri"/>
                <w:sz w:val="22"/>
                <w:szCs w:val="22"/>
              </w:rPr>
              <w:t xml:space="preserve"> </w:t>
            </w:r>
          </w:p>
        </w:tc>
      </w:tr>
      <w:tr w:rsidR="00E57B69" w14:paraId="797C3730" w14:textId="77777777">
        <w:trPr>
          <w:trHeight w:val="300"/>
        </w:trPr>
        <w:tc>
          <w:tcPr>
            <w:tcW w:w="2694" w:type="dxa"/>
            <w:vMerge/>
          </w:tcPr>
          <w:p w14:paraId="03F422B3" w14:textId="77777777" w:rsidR="00E57B69" w:rsidRPr="00BA3FDE" w:rsidRDefault="00E57B69">
            <w:pPr>
              <w:widowControl w:val="0"/>
              <w:pBdr>
                <w:top w:val="nil"/>
                <w:left w:val="nil"/>
                <w:bottom w:val="nil"/>
                <w:right w:val="nil"/>
                <w:between w:val="nil"/>
              </w:pBdr>
              <w:spacing w:line="276" w:lineRule="auto"/>
              <w:rPr>
                <w:rFonts w:ascii="Calibri" w:eastAsia="Calibri" w:hAnsi="Calibri" w:cs="Calibri"/>
                <w:sz w:val="22"/>
                <w:szCs w:val="22"/>
              </w:rPr>
            </w:pPr>
          </w:p>
        </w:tc>
        <w:tc>
          <w:tcPr>
            <w:tcW w:w="3685" w:type="dxa"/>
            <w:tcMar>
              <w:left w:w="108" w:type="dxa"/>
              <w:right w:w="108" w:type="dxa"/>
            </w:tcMar>
          </w:tcPr>
          <w:p w14:paraId="47E3F2A3" w14:textId="301F82D7" w:rsidR="00E57B69" w:rsidRPr="00BA3FDE" w:rsidRDefault="00470786">
            <w:pPr>
              <w:widowControl w:val="0"/>
              <w:rPr>
                <w:rFonts w:ascii="Calibri" w:eastAsia="Calibri" w:hAnsi="Calibri" w:cs="Calibri"/>
                <w:sz w:val="22"/>
                <w:szCs w:val="22"/>
              </w:rPr>
            </w:pPr>
            <w:r w:rsidRPr="00BA3FDE">
              <w:rPr>
                <w:rFonts w:ascii="Calibri" w:eastAsia="Calibri" w:hAnsi="Calibri" w:cs="Calibri"/>
                <w:sz w:val="22"/>
                <w:szCs w:val="22"/>
              </w:rPr>
              <w:t xml:space="preserve">Elaborate guidance for accounting of </w:t>
            </w:r>
            <w:r w:rsidR="004A4E64">
              <w:rPr>
                <w:rFonts w:ascii="Calibri" w:eastAsia="Calibri" w:hAnsi="Calibri" w:cs="Calibri"/>
                <w:sz w:val="22"/>
                <w:szCs w:val="22"/>
              </w:rPr>
              <w:t>P</w:t>
            </w:r>
            <w:r w:rsidR="004A4E64" w:rsidRPr="00BA3FDE">
              <w:rPr>
                <w:rFonts w:ascii="Calibri" w:eastAsia="Calibri" w:hAnsi="Calibri" w:cs="Calibri"/>
                <w:sz w:val="22"/>
                <w:szCs w:val="22"/>
              </w:rPr>
              <w:t xml:space="preserve">arties’ </w:t>
            </w:r>
            <w:r w:rsidRPr="00BA3FDE">
              <w:rPr>
                <w:rFonts w:ascii="Calibri" w:eastAsia="Calibri" w:hAnsi="Calibri" w:cs="Calibri"/>
                <w:sz w:val="22"/>
                <w:szCs w:val="22"/>
              </w:rPr>
              <w:t>NDCs (PA Art.4.13 and 1/CP.21 para.31) at CMA1</w:t>
            </w:r>
            <w:r w:rsidR="009D4F0B">
              <w:rPr>
                <w:rFonts w:ascii="Calibri" w:eastAsia="Calibri" w:hAnsi="Calibri" w:cs="Calibri"/>
                <w:sz w:val="22"/>
                <w:szCs w:val="22"/>
              </w:rPr>
              <w:t xml:space="preserve"> (Katowice, 2018)</w:t>
            </w:r>
          </w:p>
        </w:tc>
        <w:tc>
          <w:tcPr>
            <w:tcW w:w="3686" w:type="dxa"/>
            <w:tcMar>
              <w:left w:w="108" w:type="dxa"/>
              <w:right w:w="108" w:type="dxa"/>
            </w:tcMar>
          </w:tcPr>
          <w:p w14:paraId="0EE0273E" w14:textId="47C73FD1" w:rsidR="00052177" w:rsidRPr="00BA3FDE" w:rsidRDefault="00470786">
            <w:pPr>
              <w:widowControl w:val="0"/>
              <w:rPr>
                <w:rFonts w:ascii="Calibri" w:eastAsia="Calibri" w:hAnsi="Calibri" w:cs="Calibri"/>
                <w:sz w:val="22"/>
                <w:szCs w:val="22"/>
              </w:rPr>
            </w:pPr>
            <w:r w:rsidRPr="00BA3FDE">
              <w:rPr>
                <w:rFonts w:ascii="Calibri" w:eastAsia="Calibri" w:hAnsi="Calibri" w:cs="Calibri"/>
                <w:sz w:val="22"/>
                <w:szCs w:val="22"/>
              </w:rPr>
              <w:t>Guidance agreed, must be applied to 2</w:t>
            </w:r>
            <w:r w:rsidRPr="00BA3FDE">
              <w:rPr>
                <w:rFonts w:ascii="Calibri" w:eastAsia="Calibri" w:hAnsi="Calibri" w:cs="Calibri"/>
                <w:sz w:val="22"/>
                <w:szCs w:val="22"/>
                <w:vertAlign w:val="superscript"/>
              </w:rPr>
              <w:t>nd</w:t>
            </w:r>
            <w:r w:rsidRPr="00BA3FDE">
              <w:rPr>
                <w:rFonts w:ascii="Calibri" w:eastAsia="Calibri" w:hAnsi="Calibri" w:cs="Calibri"/>
                <w:sz w:val="22"/>
                <w:szCs w:val="22"/>
              </w:rPr>
              <w:t xml:space="preserve"> and following NDCs</w:t>
            </w:r>
            <w:r w:rsidR="00415D1F">
              <w:rPr>
                <w:rFonts w:ascii="Calibri" w:eastAsia="Calibri" w:hAnsi="Calibri" w:cs="Calibri"/>
                <w:sz w:val="22"/>
                <w:szCs w:val="22"/>
              </w:rPr>
              <w:t xml:space="preserve">. </w:t>
            </w:r>
            <w:r w:rsidR="00D54A2A">
              <w:rPr>
                <w:rFonts w:ascii="Calibri" w:eastAsia="Calibri" w:hAnsi="Calibri" w:cs="Calibri"/>
                <w:sz w:val="22"/>
                <w:szCs w:val="22"/>
              </w:rPr>
              <w:t>P</w:t>
            </w:r>
            <w:r w:rsidR="00D54A2A" w:rsidRPr="00D54A2A">
              <w:rPr>
                <w:rFonts w:ascii="Calibri" w:eastAsia="Calibri" w:hAnsi="Calibri" w:cs="Calibri"/>
                <w:sz w:val="22"/>
                <w:szCs w:val="22"/>
              </w:rPr>
              <w:t>arties should strive to include all categories of anthropogenic emis</w:t>
            </w:r>
            <w:r w:rsidR="00D54A2A">
              <w:rPr>
                <w:rFonts w:ascii="Calibri" w:eastAsia="Calibri" w:hAnsi="Calibri" w:cs="Calibri"/>
                <w:sz w:val="22"/>
                <w:szCs w:val="22"/>
              </w:rPr>
              <w:t>sions or removals in their NDCs (</w:t>
            </w:r>
            <w:r w:rsidR="00D54A2A" w:rsidRPr="00D54A2A">
              <w:rPr>
                <w:rFonts w:ascii="Calibri" w:eastAsia="Calibri" w:hAnsi="Calibri" w:cs="Calibri"/>
                <w:sz w:val="22"/>
                <w:szCs w:val="22"/>
              </w:rPr>
              <w:t>1/CP.21</w:t>
            </w:r>
            <w:r w:rsidR="00C80334">
              <w:rPr>
                <w:rFonts w:ascii="Calibri" w:eastAsia="Calibri" w:hAnsi="Calibri" w:cs="Calibri"/>
                <w:sz w:val="22"/>
                <w:szCs w:val="22"/>
              </w:rPr>
              <w:t xml:space="preserve"> para.31c.</w:t>
            </w:r>
            <w:r w:rsidR="00D54A2A">
              <w:rPr>
                <w:rFonts w:ascii="Calibri" w:eastAsia="Calibri" w:hAnsi="Calibri" w:cs="Calibri"/>
                <w:sz w:val="22"/>
                <w:szCs w:val="22"/>
              </w:rPr>
              <w:t>) and</w:t>
            </w:r>
            <w:r w:rsidR="00415D1F" w:rsidRPr="00415D1F">
              <w:rPr>
                <w:rFonts w:ascii="Calibri" w:eastAsia="Calibri" w:hAnsi="Calibri" w:cs="Calibri"/>
                <w:sz w:val="22"/>
                <w:szCs w:val="22"/>
              </w:rPr>
              <w:t xml:space="preserve"> account for emissions and emission removals in accordance with</w:t>
            </w:r>
            <w:r w:rsidR="00415D1F">
              <w:rPr>
                <w:rFonts w:ascii="Calibri" w:eastAsia="Calibri" w:hAnsi="Calibri" w:cs="Calibri"/>
                <w:sz w:val="22"/>
                <w:szCs w:val="22"/>
              </w:rPr>
              <w:t xml:space="preserve"> IPCC </w:t>
            </w:r>
            <w:r w:rsidR="00415D1F" w:rsidRPr="00415D1F">
              <w:rPr>
                <w:rFonts w:ascii="Calibri" w:eastAsia="Calibri" w:hAnsi="Calibri" w:cs="Calibri"/>
                <w:sz w:val="22"/>
                <w:szCs w:val="22"/>
              </w:rPr>
              <w:t xml:space="preserve">guidance </w:t>
            </w:r>
            <w:r w:rsidR="00415D1F">
              <w:rPr>
                <w:rFonts w:ascii="Calibri" w:eastAsia="Calibri" w:hAnsi="Calibri" w:cs="Calibri"/>
                <w:sz w:val="22"/>
                <w:szCs w:val="22"/>
              </w:rPr>
              <w:t>(</w:t>
            </w:r>
            <w:r w:rsidR="00A00683">
              <w:rPr>
                <w:rFonts w:ascii="Calibri" w:eastAsia="Calibri" w:hAnsi="Calibri" w:cs="Calibri"/>
                <w:sz w:val="22"/>
                <w:szCs w:val="22"/>
              </w:rPr>
              <w:t xml:space="preserve">4/CMA.1, </w:t>
            </w:r>
            <w:r w:rsidR="00415D1F">
              <w:rPr>
                <w:rFonts w:ascii="Calibri" w:eastAsia="Calibri" w:hAnsi="Calibri" w:cs="Calibri"/>
                <w:sz w:val="22"/>
                <w:szCs w:val="22"/>
              </w:rPr>
              <w:t xml:space="preserve">Annex II). </w:t>
            </w:r>
            <w:r w:rsidR="00415D1F" w:rsidRPr="00415D1F">
              <w:rPr>
                <w:rFonts w:ascii="Calibri" w:eastAsia="Calibri" w:hAnsi="Calibri" w:cs="Calibri"/>
                <w:sz w:val="22"/>
                <w:szCs w:val="22"/>
              </w:rPr>
              <w:t>This can include natural disturbances on managed land, harvesting of wood products or the</w:t>
            </w:r>
            <w:r w:rsidR="00415D1F">
              <w:rPr>
                <w:rFonts w:ascii="Calibri" w:eastAsia="Calibri" w:hAnsi="Calibri" w:cs="Calibri"/>
                <w:sz w:val="22"/>
                <w:szCs w:val="22"/>
              </w:rPr>
              <w:t xml:space="preserve"> age-class structure in forests (Annex II </w:t>
            </w:r>
            <w:r w:rsidR="00A00683">
              <w:rPr>
                <w:rFonts w:ascii="Calibri" w:eastAsia="Calibri" w:hAnsi="Calibri" w:cs="Calibri"/>
                <w:sz w:val="22"/>
                <w:szCs w:val="22"/>
              </w:rPr>
              <w:t>para</w:t>
            </w:r>
            <w:r w:rsidR="00415D1F">
              <w:rPr>
                <w:rFonts w:ascii="Calibri" w:eastAsia="Calibri" w:hAnsi="Calibri" w:cs="Calibri"/>
                <w:sz w:val="22"/>
                <w:szCs w:val="22"/>
              </w:rPr>
              <w:t>.1)</w:t>
            </w:r>
          </w:p>
        </w:tc>
        <w:tc>
          <w:tcPr>
            <w:tcW w:w="3875" w:type="dxa"/>
            <w:tcMar>
              <w:left w:w="108" w:type="dxa"/>
              <w:right w:w="108" w:type="dxa"/>
            </w:tcMar>
          </w:tcPr>
          <w:p w14:paraId="37693E8A" w14:textId="4444D84D" w:rsidR="00F669CA" w:rsidRDefault="00F669CA" w:rsidP="00F669CA">
            <w:pPr>
              <w:widowControl w:val="0"/>
              <w:rPr>
                <w:rFonts w:ascii="Calibri" w:eastAsia="Calibri" w:hAnsi="Calibri" w:cs="Calibri"/>
                <w:sz w:val="22"/>
                <w:szCs w:val="22"/>
              </w:rPr>
            </w:pPr>
            <w:r>
              <w:rPr>
                <w:rFonts w:ascii="Calibri" w:eastAsia="Calibri" w:hAnsi="Calibri" w:cs="Calibri"/>
                <w:sz w:val="22"/>
                <w:szCs w:val="22"/>
              </w:rPr>
              <w:t>Developing countries need to strengthen their c</w:t>
            </w:r>
            <w:r w:rsidR="004A4E64">
              <w:rPr>
                <w:rFonts w:ascii="Calibri" w:eastAsia="Calibri" w:hAnsi="Calibri" w:cs="Calibri"/>
                <w:sz w:val="22"/>
                <w:szCs w:val="22"/>
              </w:rPr>
              <w:t>apacity to apply the guidance</w:t>
            </w:r>
            <w:r>
              <w:rPr>
                <w:rFonts w:ascii="Calibri" w:eastAsia="Calibri" w:hAnsi="Calibri" w:cs="Calibri"/>
                <w:sz w:val="22"/>
                <w:szCs w:val="22"/>
              </w:rPr>
              <w:t>.</w:t>
            </w:r>
          </w:p>
          <w:p w14:paraId="651CEEC9" w14:textId="77777777" w:rsidR="00F669CA" w:rsidRDefault="00F669CA" w:rsidP="00F669CA">
            <w:pPr>
              <w:widowControl w:val="0"/>
              <w:rPr>
                <w:rFonts w:ascii="Calibri" w:eastAsia="Calibri" w:hAnsi="Calibri" w:cs="Calibri"/>
                <w:sz w:val="22"/>
                <w:szCs w:val="22"/>
              </w:rPr>
            </w:pPr>
          </w:p>
          <w:p w14:paraId="484E28B3" w14:textId="6D178ECF" w:rsidR="00E57B69" w:rsidRPr="00BA3FDE" w:rsidRDefault="00F669CA" w:rsidP="00415D1F">
            <w:pPr>
              <w:widowControl w:val="0"/>
              <w:rPr>
                <w:rFonts w:ascii="Calibri" w:eastAsia="Calibri" w:hAnsi="Calibri" w:cs="Calibri"/>
                <w:sz w:val="22"/>
                <w:szCs w:val="22"/>
              </w:rPr>
            </w:pPr>
            <w:r>
              <w:rPr>
                <w:rFonts w:ascii="Calibri" w:eastAsia="Calibri" w:hAnsi="Calibri" w:cs="Calibri"/>
                <w:sz w:val="22"/>
                <w:szCs w:val="22"/>
              </w:rPr>
              <w:t xml:space="preserve">Depending on </w:t>
            </w:r>
            <w:r w:rsidR="00415D1F">
              <w:rPr>
                <w:rFonts w:ascii="Calibri" w:eastAsia="Calibri" w:hAnsi="Calibri" w:cs="Calibri"/>
                <w:sz w:val="22"/>
                <w:szCs w:val="22"/>
              </w:rPr>
              <w:t>what emission</w:t>
            </w:r>
            <w:r w:rsidR="00A00683">
              <w:rPr>
                <w:rFonts w:ascii="Calibri" w:eastAsia="Calibri" w:hAnsi="Calibri" w:cs="Calibri"/>
                <w:sz w:val="22"/>
                <w:szCs w:val="22"/>
              </w:rPr>
              <w:t>s</w:t>
            </w:r>
            <w:r w:rsidR="00415D1F">
              <w:rPr>
                <w:rFonts w:ascii="Calibri" w:eastAsia="Calibri" w:hAnsi="Calibri" w:cs="Calibri"/>
                <w:sz w:val="22"/>
                <w:szCs w:val="22"/>
              </w:rPr>
              <w:t xml:space="preserve"> and removals are included in the NDC law and policy in</w:t>
            </w:r>
            <w:r w:rsidR="00D54A2A">
              <w:rPr>
                <w:rFonts w:ascii="Calibri" w:eastAsia="Calibri" w:hAnsi="Calibri" w:cs="Calibri"/>
                <w:sz w:val="22"/>
                <w:szCs w:val="22"/>
              </w:rPr>
              <w:t xml:space="preserve"> the forest and/or other relevant sectors may require review and adjustments. </w:t>
            </w:r>
            <w:r w:rsidR="00D54A2A" w:rsidRPr="00D54A2A">
              <w:rPr>
                <w:rFonts w:ascii="Calibri" w:eastAsia="Calibri" w:hAnsi="Calibri" w:cs="Calibri"/>
                <w:sz w:val="22"/>
                <w:szCs w:val="22"/>
              </w:rPr>
              <w:t>Once a source, sink or activity is included, it should continue to be included in future NDCs.</w:t>
            </w:r>
          </w:p>
        </w:tc>
      </w:tr>
      <w:tr w:rsidR="00E57B69" w14:paraId="20BE58D5" w14:textId="77777777">
        <w:trPr>
          <w:trHeight w:val="20"/>
        </w:trPr>
        <w:tc>
          <w:tcPr>
            <w:tcW w:w="2694" w:type="dxa"/>
            <w:vMerge/>
          </w:tcPr>
          <w:p w14:paraId="2D5E1650" w14:textId="5B910295" w:rsidR="00E57B69" w:rsidRPr="00BA3FDE" w:rsidRDefault="00E57B69">
            <w:pPr>
              <w:widowControl w:val="0"/>
              <w:pBdr>
                <w:top w:val="nil"/>
                <w:left w:val="nil"/>
                <w:bottom w:val="nil"/>
                <w:right w:val="nil"/>
                <w:between w:val="nil"/>
              </w:pBdr>
              <w:spacing w:line="276" w:lineRule="auto"/>
              <w:rPr>
                <w:rFonts w:ascii="Calibri" w:eastAsia="Calibri" w:hAnsi="Calibri" w:cs="Calibri"/>
                <w:sz w:val="22"/>
                <w:szCs w:val="22"/>
              </w:rPr>
            </w:pPr>
          </w:p>
        </w:tc>
        <w:tc>
          <w:tcPr>
            <w:tcW w:w="3685" w:type="dxa"/>
            <w:tcMar>
              <w:left w:w="108" w:type="dxa"/>
              <w:right w:w="108" w:type="dxa"/>
            </w:tcMar>
          </w:tcPr>
          <w:p w14:paraId="0D8AC7DE" w14:textId="57CEE6D1" w:rsidR="00E57B69" w:rsidRPr="00BA3FDE" w:rsidRDefault="00470786">
            <w:pPr>
              <w:widowControl w:val="0"/>
              <w:rPr>
                <w:rFonts w:ascii="Calibri" w:eastAsia="Calibri" w:hAnsi="Calibri" w:cs="Calibri"/>
                <w:sz w:val="22"/>
                <w:szCs w:val="22"/>
              </w:rPr>
            </w:pPr>
            <w:r w:rsidRPr="00BA3FDE">
              <w:rPr>
                <w:rFonts w:ascii="Calibri" w:eastAsia="Calibri" w:hAnsi="Calibri" w:cs="Calibri"/>
                <w:sz w:val="22"/>
                <w:szCs w:val="22"/>
              </w:rPr>
              <w:t xml:space="preserve">Recommend the modalities, work programme and functions of the Forum on the Impacts of the Implementation of Response Measures (1/CP.21 para.34) at CMA1 </w:t>
            </w:r>
            <w:r w:rsidR="009D4F0B">
              <w:rPr>
                <w:rFonts w:ascii="Calibri" w:eastAsia="Calibri" w:hAnsi="Calibri" w:cs="Calibri"/>
                <w:sz w:val="22"/>
                <w:szCs w:val="22"/>
              </w:rPr>
              <w:t>(Katowice, 2018)</w:t>
            </w:r>
          </w:p>
        </w:tc>
        <w:tc>
          <w:tcPr>
            <w:tcW w:w="3686" w:type="dxa"/>
            <w:tcMar>
              <w:left w:w="108" w:type="dxa"/>
              <w:right w:w="108" w:type="dxa"/>
            </w:tcMar>
          </w:tcPr>
          <w:p w14:paraId="20224A18" w14:textId="76E8AFE5" w:rsidR="00E57B69" w:rsidRPr="00BA3FDE" w:rsidRDefault="00470786" w:rsidP="00766A90">
            <w:pPr>
              <w:widowControl w:val="0"/>
              <w:rPr>
                <w:rFonts w:ascii="Calibri" w:eastAsia="Calibri" w:hAnsi="Calibri" w:cs="Calibri"/>
                <w:sz w:val="22"/>
                <w:szCs w:val="22"/>
              </w:rPr>
            </w:pPr>
            <w:r w:rsidRPr="00BA3FDE">
              <w:rPr>
                <w:rFonts w:ascii="Calibri" w:eastAsia="Calibri" w:hAnsi="Calibri" w:cs="Calibri"/>
                <w:sz w:val="22"/>
                <w:szCs w:val="22"/>
              </w:rPr>
              <w:t xml:space="preserve">Modalities, 6-year work programme, and functions of the Forum were agreed; the Katowice Committee of </w:t>
            </w:r>
            <w:r w:rsidR="00766A90" w:rsidRPr="00BA3FDE">
              <w:rPr>
                <w:rFonts w:ascii="Calibri" w:eastAsia="Calibri" w:hAnsi="Calibri" w:cs="Calibri"/>
                <w:sz w:val="22"/>
                <w:szCs w:val="22"/>
              </w:rPr>
              <w:t>E</w:t>
            </w:r>
            <w:r w:rsidRPr="00BA3FDE">
              <w:rPr>
                <w:rFonts w:ascii="Calibri" w:eastAsia="Calibri" w:hAnsi="Calibri" w:cs="Calibri"/>
                <w:sz w:val="22"/>
                <w:szCs w:val="22"/>
              </w:rPr>
              <w:t xml:space="preserve">xperts to support the </w:t>
            </w:r>
            <w:r w:rsidR="004A4E64">
              <w:rPr>
                <w:rFonts w:ascii="Calibri" w:eastAsia="Calibri" w:hAnsi="Calibri" w:cs="Calibri"/>
                <w:sz w:val="22"/>
                <w:szCs w:val="22"/>
              </w:rPr>
              <w:t>F</w:t>
            </w:r>
            <w:r w:rsidR="004A4E64" w:rsidRPr="00BA3FDE">
              <w:rPr>
                <w:rFonts w:ascii="Calibri" w:eastAsia="Calibri" w:hAnsi="Calibri" w:cs="Calibri"/>
                <w:sz w:val="22"/>
                <w:szCs w:val="22"/>
              </w:rPr>
              <w:t xml:space="preserve">orum </w:t>
            </w:r>
            <w:r w:rsidRPr="00BA3FDE">
              <w:rPr>
                <w:rFonts w:ascii="Calibri" w:eastAsia="Calibri" w:hAnsi="Calibri" w:cs="Calibri"/>
                <w:sz w:val="22"/>
                <w:szCs w:val="22"/>
              </w:rPr>
              <w:t>established</w:t>
            </w:r>
            <w:r w:rsidR="00766A90" w:rsidRPr="00BA3FDE">
              <w:rPr>
                <w:rFonts w:ascii="Calibri" w:eastAsia="Calibri" w:hAnsi="Calibri" w:cs="Calibri"/>
                <w:sz w:val="22"/>
                <w:szCs w:val="22"/>
              </w:rPr>
              <w:t xml:space="preserve"> (7/CMA.1, paras 2</w:t>
            </w:r>
            <w:r w:rsidR="00E753CA" w:rsidRPr="00BA3FDE">
              <w:rPr>
                <w:rFonts w:ascii="Calibri" w:eastAsia="Calibri" w:hAnsi="Calibri" w:cs="Calibri"/>
                <w:sz w:val="22"/>
                <w:szCs w:val="22"/>
              </w:rPr>
              <w:t xml:space="preserve"> </w:t>
            </w:r>
            <w:r w:rsidR="00766A90" w:rsidRPr="00BA3FDE">
              <w:rPr>
                <w:rFonts w:ascii="Calibri" w:eastAsia="Calibri" w:hAnsi="Calibri" w:cs="Calibri"/>
                <w:sz w:val="22"/>
                <w:szCs w:val="22"/>
              </w:rPr>
              <w:t>and 5)</w:t>
            </w:r>
          </w:p>
        </w:tc>
        <w:tc>
          <w:tcPr>
            <w:tcW w:w="3875" w:type="dxa"/>
            <w:tcMar>
              <w:left w:w="108" w:type="dxa"/>
              <w:right w:w="108" w:type="dxa"/>
            </w:tcMar>
          </w:tcPr>
          <w:p w14:paraId="5E814845" w14:textId="17939D50" w:rsidR="00E57B69" w:rsidRPr="00BA3FDE" w:rsidRDefault="00837EB7" w:rsidP="009D29DD">
            <w:pPr>
              <w:widowControl w:val="0"/>
              <w:rPr>
                <w:rFonts w:ascii="Calibri" w:eastAsia="Calibri" w:hAnsi="Calibri" w:cs="Calibri"/>
                <w:sz w:val="22"/>
                <w:szCs w:val="22"/>
              </w:rPr>
            </w:pPr>
            <w:r>
              <w:rPr>
                <w:rFonts w:ascii="Calibri" w:eastAsia="Calibri" w:hAnsi="Calibri" w:cs="Calibri"/>
                <w:sz w:val="22"/>
                <w:szCs w:val="22"/>
              </w:rPr>
              <w:t>Mainly i</w:t>
            </w:r>
            <w:r w:rsidR="00C468FD">
              <w:rPr>
                <w:rFonts w:ascii="Calibri" w:eastAsia="Calibri" w:hAnsi="Calibri" w:cs="Calibri"/>
                <w:sz w:val="22"/>
                <w:szCs w:val="22"/>
              </w:rPr>
              <w:t>nternational process</w:t>
            </w:r>
          </w:p>
        </w:tc>
      </w:tr>
      <w:tr w:rsidR="00E57B69" w14:paraId="042877E3" w14:textId="77777777" w:rsidTr="00B4577B">
        <w:trPr>
          <w:trHeight w:val="20"/>
        </w:trPr>
        <w:tc>
          <w:tcPr>
            <w:tcW w:w="2694" w:type="dxa"/>
            <w:vMerge/>
          </w:tcPr>
          <w:p w14:paraId="4162AE15" w14:textId="77777777" w:rsidR="00E57B69" w:rsidRPr="00BA3FDE" w:rsidRDefault="00E57B69">
            <w:pPr>
              <w:widowControl w:val="0"/>
              <w:pBdr>
                <w:top w:val="nil"/>
                <w:left w:val="nil"/>
                <w:bottom w:val="nil"/>
                <w:right w:val="nil"/>
                <w:between w:val="nil"/>
              </w:pBdr>
              <w:spacing w:line="276" w:lineRule="auto"/>
              <w:rPr>
                <w:rFonts w:ascii="Calibri" w:eastAsia="Calibri" w:hAnsi="Calibri" w:cs="Calibri"/>
                <w:sz w:val="22"/>
                <w:szCs w:val="22"/>
              </w:rPr>
            </w:pPr>
          </w:p>
        </w:tc>
        <w:tc>
          <w:tcPr>
            <w:tcW w:w="3685" w:type="dxa"/>
            <w:tcMar>
              <w:left w:w="108" w:type="dxa"/>
              <w:right w:w="108" w:type="dxa"/>
            </w:tcMar>
          </w:tcPr>
          <w:p w14:paraId="01BD3925" w14:textId="43EB4760" w:rsidR="00E57B69" w:rsidRPr="00BA3FDE" w:rsidRDefault="00470786">
            <w:pPr>
              <w:widowControl w:val="0"/>
              <w:rPr>
                <w:rFonts w:ascii="Calibri" w:eastAsia="Calibri" w:hAnsi="Calibri" w:cs="Calibri"/>
                <w:sz w:val="22"/>
                <w:szCs w:val="22"/>
              </w:rPr>
            </w:pPr>
            <w:r w:rsidRPr="00BA3FDE">
              <w:rPr>
                <w:rFonts w:ascii="Calibri" w:eastAsia="Calibri" w:hAnsi="Calibri" w:cs="Calibri"/>
                <w:sz w:val="22"/>
                <w:szCs w:val="22"/>
              </w:rPr>
              <w:t xml:space="preserve">Adopt guidance concerning adjustment of NDCs by </w:t>
            </w:r>
            <w:r w:rsidR="004A4E64">
              <w:rPr>
                <w:rFonts w:ascii="Calibri" w:eastAsia="Calibri" w:hAnsi="Calibri" w:cs="Calibri"/>
                <w:sz w:val="22"/>
                <w:szCs w:val="22"/>
              </w:rPr>
              <w:t>P</w:t>
            </w:r>
            <w:r w:rsidR="004A4E64" w:rsidRPr="00BA3FDE">
              <w:rPr>
                <w:rFonts w:ascii="Calibri" w:eastAsia="Calibri" w:hAnsi="Calibri" w:cs="Calibri"/>
                <w:sz w:val="22"/>
                <w:szCs w:val="22"/>
              </w:rPr>
              <w:t xml:space="preserve">arties </w:t>
            </w:r>
            <w:r w:rsidRPr="00BA3FDE">
              <w:rPr>
                <w:rFonts w:ascii="Calibri" w:eastAsia="Calibri" w:hAnsi="Calibri" w:cs="Calibri"/>
                <w:sz w:val="22"/>
                <w:szCs w:val="22"/>
              </w:rPr>
              <w:t>with a view to enhancing ambition (PA Art. 4.11)</w:t>
            </w:r>
          </w:p>
        </w:tc>
        <w:tc>
          <w:tcPr>
            <w:tcW w:w="3686" w:type="dxa"/>
            <w:shd w:val="clear" w:color="auto" w:fill="auto"/>
            <w:tcMar>
              <w:left w:w="108" w:type="dxa"/>
              <w:right w:w="108" w:type="dxa"/>
            </w:tcMar>
          </w:tcPr>
          <w:p w14:paraId="5345E7EE" w14:textId="77777777" w:rsidR="00E57B69" w:rsidRPr="00BA3FDE" w:rsidRDefault="00470786">
            <w:pPr>
              <w:widowControl w:val="0"/>
              <w:rPr>
                <w:rFonts w:ascii="Calibri" w:eastAsia="Calibri" w:hAnsi="Calibri" w:cs="Calibri"/>
                <w:sz w:val="22"/>
                <w:szCs w:val="22"/>
              </w:rPr>
            </w:pPr>
            <w:r w:rsidRPr="00BA3FDE">
              <w:rPr>
                <w:rFonts w:ascii="Calibri" w:eastAsia="Calibri" w:hAnsi="Calibri" w:cs="Calibri"/>
                <w:sz w:val="22"/>
                <w:szCs w:val="22"/>
              </w:rPr>
              <w:t>No decision</w:t>
            </w:r>
          </w:p>
        </w:tc>
        <w:tc>
          <w:tcPr>
            <w:tcW w:w="3875" w:type="dxa"/>
            <w:tcMar>
              <w:left w:w="108" w:type="dxa"/>
              <w:right w:w="108" w:type="dxa"/>
            </w:tcMar>
          </w:tcPr>
          <w:p w14:paraId="3BDF64BD" w14:textId="20E03ABE" w:rsidR="00E57B69" w:rsidRPr="00BA3FDE" w:rsidRDefault="00E57B69">
            <w:pPr>
              <w:widowControl w:val="0"/>
              <w:rPr>
                <w:rFonts w:ascii="Calibri" w:eastAsia="Calibri" w:hAnsi="Calibri" w:cs="Calibri"/>
                <w:sz w:val="22"/>
                <w:szCs w:val="22"/>
              </w:rPr>
            </w:pPr>
          </w:p>
        </w:tc>
      </w:tr>
      <w:tr w:rsidR="00945E9D" w14:paraId="745D42FB" w14:textId="77777777" w:rsidTr="00B4577B">
        <w:trPr>
          <w:trHeight w:val="20"/>
        </w:trPr>
        <w:tc>
          <w:tcPr>
            <w:tcW w:w="2694" w:type="dxa"/>
          </w:tcPr>
          <w:p w14:paraId="7F383B3B" w14:textId="042D7F8B" w:rsidR="00A00683" w:rsidRDefault="006248DC">
            <w:pPr>
              <w:widowControl w:val="0"/>
              <w:rPr>
                <w:rFonts w:ascii="Calibri" w:eastAsia="Calibri" w:hAnsi="Calibri" w:cs="Calibri"/>
                <w:sz w:val="22"/>
                <w:szCs w:val="22"/>
              </w:rPr>
            </w:pPr>
            <w:r>
              <w:rPr>
                <w:rFonts w:ascii="Calibri" w:eastAsia="Calibri" w:hAnsi="Calibri" w:cs="Calibri"/>
                <w:sz w:val="22"/>
                <w:szCs w:val="22"/>
              </w:rPr>
              <w:lastRenderedPageBreak/>
              <w:t xml:space="preserve">PA </w:t>
            </w:r>
            <w:r w:rsidR="00945E9D" w:rsidRPr="00BA3FDE">
              <w:rPr>
                <w:rFonts w:ascii="Calibri" w:eastAsia="Calibri" w:hAnsi="Calibri" w:cs="Calibri"/>
                <w:sz w:val="22"/>
                <w:szCs w:val="22"/>
              </w:rPr>
              <w:t>Article 6 provides 3 voluntary tools for the implementation of NDCs</w:t>
            </w:r>
            <w:r w:rsidR="003C2AE4">
              <w:rPr>
                <w:rFonts w:ascii="Calibri" w:eastAsia="Calibri" w:hAnsi="Calibri" w:cs="Calibri"/>
                <w:sz w:val="22"/>
                <w:szCs w:val="22"/>
              </w:rPr>
              <w:t>:</w:t>
            </w:r>
          </w:p>
          <w:p w14:paraId="1F8BEF0C" w14:textId="41E81356" w:rsidR="00945E9D" w:rsidRPr="00BA3FDE" w:rsidRDefault="003C2AE4">
            <w:pPr>
              <w:widowControl w:val="0"/>
              <w:rPr>
                <w:rFonts w:ascii="Calibri" w:eastAsia="Calibri" w:hAnsi="Calibri" w:cs="Calibri"/>
                <w:sz w:val="22"/>
                <w:szCs w:val="22"/>
              </w:rPr>
            </w:pPr>
            <w:r>
              <w:rPr>
                <w:rFonts w:ascii="Calibri" w:eastAsia="Calibri" w:hAnsi="Calibri" w:cs="Calibri"/>
                <w:sz w:val="22"/>
                <w:szCs w:val="22"/>
              </w:rPr>
              <w:t>1. I</w:t>
            </w:r>
            <w:r w:rsidR="00945E9D" w:rsidRPr="00BA3FDE">
              <w:rPr>
                <w:rFonts w:ascii="Calibri" w:eastAsia="Calibri" w:hAnsi="Calibri" w:cs="Calibri"/>
                <w:sz w:val="22"/>
                <w:szCs w:val="22"/>
              </w:rPr>
              <w:t>nternationally Transferred Mitigation Outcomes (ITMO)</w:t>
            </w:r>
          </w:p>
          <w:p w14:paraId="565E5FF2" w14:textId="77777777" w:rsidR="00945E9D" w:rsidRPr="00BA3FDE" w:rsidRDefault="00945E9D">
            <w:pPr>
              <w:widowControl w:val="0"/>
              <w:rPr>
                <w:rFonts w:ascii="Calibri" w:eastAsia="Calibri" w:hAnsi="Calibri" w:cs="Calibri"/>
                <w:sz w:val="22"/>
                <w:szCs w:val="22"/>
              </w:rPr>
            </w:pPr>
          </w:p>
        </w:tc>
        <w:tc>
          <w:tcPr>
            <w:tcW w:w="3685" w:type="dxa"/>
            <w:tcMar>
              <w:left w:w="108" w:type="dxa"/>
              <w:right w:w="108" w:type="dxa"/>
            </w:tcMar>
          </w:tcPr>
          <w:p w14:paraId="7D93B6C7" w14:textId="39D1A18C" w:rsidR="00945E9D" w:rsidRPr="00BA3FDE" w:rsidRDefault="00945E9D">
            <w:pPr>
              <w:widowControl w:val="0"/>
              <w:rPr>
                <w:rFonts w:ascii="Calibri" w:eastAsia="Calibri" w:hAnsi="Calibri" w:cs="Calibri"/>
                <w:sz w:val="22"/>
                <w:szCs w:val="22"/>
              </w:rPr>
            </w:pPr>
            <w:r w:rsidRPr="00BA3FDE">
              <w:rPr>
                <w:rFonts w:ascii="Calibri" w:eastAsia="Calibri" w:hAnsi="Calibri" w:cs="Calibri"/>
                <w:sz w:val="22"/>
                <w:szCs w:val="22"/>
              </w:rPr>
              <w:t>Develop guidance on robust accounting for internationally transferred mitigation outcomes under voluntary cooperative approaches (PA Art.6.2, 1/CP.21 para.36) at CMA1</w:t>
            </w:r>
            <w:r w:rsidR="009D4F0B">
              <w:rPr>
                <w:rFonts w:ascii="Calibri" w:eastAsia="Calibri" w:hAnsi="Calibri" w:cs="Calibri"/>
                <w:sz w:val="22"/>
                <w:szCs w:val="22"/>
              </w:rPr>
              <w:t xml:space="preserve"> (Katowice, 2018)</w:t>
            </w:r>
          </w:p>
        </w:tc>
        <w:tc>
          <w:tcPr>
            <w:tcW w:w="3686" w:type="dxa"/>
            <w:shd w:val="clear" w:color="auto" w:fill="auto"/>
            <w:tcMar>
              <w:left w:w="108" w:type="dxa"/>
              <w:right w:w="108" w:type="dxa"/>
            </w:tcMar>
          </w:tcPr>
          <w:p w14:paraId="26D7F7C4" w14:textId="51E85BD5" w:rsidR="00945E9D" w:rsidRPr="00BA3FDE" w:rsidRDefault="00945E9D">
            <w:pPr>
              <w:widowControl w:val="0"/>
              <w:rPr>
                <w:rFonts w:ascii="Calibri" w:eastAsia="Calibri" w:hAnsi="Calibri" w:cs="Calibri"/>
                <w:sz w:val="22"/>
                <w:szCs w:val="22"/>
              </w:rPr>
            </w:pPr>
            <w:r w:rsidRPr="00BA3FDE">
              <w:rPr>
                <w:rFonts w:ascii="Calibri" w:eastAsia="Calibri" w:hAnsi="Calibri" w:cs="Calibri"/>
                <w:sz w:val="22"/>
                <w:szCs w:val="22"/>
              </w:rPr>
              <w:t xml:space="preserve">Despite progress in some areas – </w:t>
            </w:r>
            <w:r w:rsidR="005C41F9">
              <w:rPr>
                <w:rFonts w:ascii="Calibri" w:eastAsia="Calibri" w:hAnsi="Calibri" w:cs="Calibri"/>
                <w:sz w:val="22"/>
                <w:szCs w:val="22"/>
              </w:rPr>
              <w:t>only a procedural</w:t>
            </w:r>
            <w:r w:rsidR="005C41F9" w:rsidRPr="00BA3FDE">
              <w:rPr>
                <w:rFonts w:ascii="Calibri" w:eastAsia="Calibri" w:hAnsi="Calibri" w:cs="Calibri"/>
                <w:sz w:val="22"/>
                <w:szCs w:val="22"/>
              </w:rPr>
              <w:t xml:space="preserve"> </w:t>
            </w:r>
            <w:r w:rsidR="005C41F9">
              <w:rPr>
                <w:rFonts w:ascii="Calibri" w:eastAsia="Calibri" w:hAnsi="Calibri" w:cs="Calibri"/>
                <w:sz w:val="22"/>
                <w:szCs w:val="22"/>
              </w:rPr>
              <w:t>decision</w:t>
            </w:r>
            <w:r w:rsidR="005C41F9" w:rsidRPr="00BA3FDE">
              <w:rPr>
                <w:rFonts w:ascii="Calibri" w:eastAsia="Calibri" w:hAnsi="Calibri" w:cs="Calibri"/>
                <w:sz w:val="22"/>
                <w:szCs w:val="22"/>
              </w:rPr>
              <w:t xml:space="preserve"> </w:t>
            </w:r>
            <w:r w:rsidRPr="00BA3FDE">
              <w:rPr>
                <w:rFonts w:ascii="Calibri" w:eastAsia="Calibri" w:hAnsi="Calibri" w:cs="Calibri"/>
                <w:sz w:val="22"/>
                <w:szCs w:val="22"/>
              </w:rPr>
              <w:t>was reached in Katowice (8/CMA.1)</w:t>
            </w:r>
          </w:p>
        </w:tc>
        <w:tc>
          <w:tcPr>
            <w:tcW w:w="3875" w:type="dxa"/>
            <w:vMerge w:val="restart"/>
            <w:tcMar>
              <w:left w:w="108" w:type="dxa"/>
              <w:right w:w="108" w:type="dxa"/>
            </w:tcMar>
          </w:tcPr>
          <w:p w14:paraId="4648DD44" w14:textId="6290B358" w:rsidR="00945E9D" w:rsidRPr="00BA3FDE" w:rsidRDefault="00945E9D" w:rsidP="00B411B3">
            <w:pPr>
              <w:widowControl w:val="0"/>
              <w:rPr>
                <w:rFonts w:ascii="Calibri" w:eastAsia="Calibri" w:hAnsi="Calibri" w:cs="Calibri"/>
                <w:sz w:val="22"/>
                <w:szCs w:val="22"/>
              </w:rPr>
            </w:pPr>
            <w:r w:rsidRPr="00F439C5">
              <w:rPr>
                <w:rFonts w:ascii="Calibri" w:eastAsia="Calibri" w:hAnsi="Calibri" w:cs="Calibri"/>
                <w:sz w:val="22"/>
                <w:szCs w:val="22"/>
              </w:rPr>
              <w:t>Rules, modali</w:t>
            </w:r>
            <w:r w:rsidR="00B1349B">
              <w:rPr>
                <w:rFonts w:ascii="Calibri" w:eastAsia="Calibri" w:hAnsi="Calibri" w:cs="Calibri"/>
                <w:sz w:val="22"/>
                <w:szCs w:val="22"/>
              </w:rPr>
              <w:t>ties and procedures for the Art.6</w:t>
            </w:r>
            <w:r w:rsidRPr="00F439C5">
              <w:rPr>
                <w:rFonts w:ascii="Calibri" w:eastAsia="Calibri" w:hAnsi="Calibri" w:cs="Calibri"/>
                <w:sz w:val="22"/>
                <w:szCs w:val="22"/>
              </w:rPr>
              <w:t xml:space="preserve"> mechanism</w:t>
            </w:r>
            <w:r w:rsidR="00E51E65">
              <w:rPr>
                <w:rFonts w:ascii="Calibri" w:eastAsia="Calibri" w:hAnsi="Calibri" w:cs="Calibri"/>
                <w:sz w:val="22"/>
                <w:szCs w:val="22"/>
              </w:rPr>
              <w:t>s</w:t>
            </w:r>
            <w:r w:rsidRPr="00F439C5">
              <w:rPr>
                <w:rFonts w:ascii="Calibri" w:eastAsia="Calibri" w:hAnsi="Calibri" w:cs="Calibri"/>
                <w:sz w:val="22"/>
                <w:szCs w:val="22"/>
              </w:rPr>
              <w:t xml:space="preserve"> </w:t>
            </w:r>
            <w:r w:rsidR="00B1349B">
              <w:rPr>
                <w:rFonts w:ascii="Calibri" w:eastAsia="Calibri" w:hAnsi="Calibri" w:cs="Calibri"/>
                <w:sz w:val="22"/>
                <w:szCs w:val="22"/>
              </w:rPr>
              <w:t>should now be adopted by CMA</w:t>
            </w:r>
            <w:r w:rsidRPr="00F439C5">
              <w:rPr>
                <w:rFonts w:ascii="Calibri" w:eastAsia="Calibri" w:hAnsi="Calibri" w:cs="Calibri"/>
                <w:sz w:val="22"/>
                <w:szCs w:val="22"/>
              </w:rPr>
              <w:t>2 (</w:t>
            </w:r>
            <w:r w:rsidR="00B1349B">
              <w:rPr>
                <w:rFonts w:ascii="Calibri" w:eastAsia="Calibri" w:hAnsi="Calibri" w:cs="Calibri"/>
                <w:sz w:val="22"/>
                <w:szCs w:val="22"/>
              </w:rPr>
              <w:t xml:space="preserve">in </w:t>
            </w:r>
            <w:r w:rsidRPr="00F439C5">
              <w:rPr>
                <w:rFonts w:ascii="Calibri" w:eastAsia="Calibri" w:hAnsi="Calibri" w:cs="Calibri"/>
                <w:sz w:val="22"/>
                <w:szCs w:val="22"/>
              </w:rPr>
              <w:t>December 2019)</w:t>
            </w:r>
            <w:r w:rsidR="00B1349B">
              <w:rPr>
                <w:rFonts w:ascii="Calibri" w:eastAsia="Calibri" w:hAnsi="Calibri" w:cs="Calibri"/>
                <w:sz w:val="22"/>
                <w:szCs w:val="22"/>
              </w:rPr>
              <w:t xml:space="preserve">. Parties may still try to shape the outcomes (e.g. whether to include deforestation or allow Kyoto </w:t>
            </w:r>
            <w:r w:rsidR="00E51E65">
              <w:rPr>
                <w:rFonts w:ascii="Calibri" w:eastAsia="Calibri" w:hAnsi="Calibri" w:cs="Calibri"/>
                <w:sz w:val="22"/>
                <w:szCs w:val="22"/>
              </w:rPr>
              <w:t xml:space="preserve">Protocol </w:t>
            </w:r>
            <w:r w:rsidR="00B1349B">
              <w:rPr>
                <w:rFonts w:ascii="Calibri" w:eastAsia="Calibri" w:hAnsi="Calibri" w:cs="Calibri"/>
                <w:sz w:val="22"/>
                <w:szCs w:val="22"/>
              </w:rPr>
              <w:t>units into the system). In the medium term</w:t>
            </w:r>
            <w:r w:rsidR="00B411B3">
              <w:rPr>
                <w:rFonts w:ascii="Calibri" w:eastAsia="Calibri" w:hAnsi="Calibri" w:cs="Calibri"/>
                <w:sz w:val="22"/>
                <w:szCs w:val="22"/>
              </w:rPr>
              <w:t xml:space="preserve"> robust domestic</w:t>
            </w:r>
            <w:r w:rsidR="00B1349B">
              <w:rPr>
                <w:rFonts w:ascii="Calibri" w:eastAsia="Calibri" w:hAnsi="Calibri" w:cs="Calibri"/>
                <w:sz w:val="22"/>
                <w:szCs w:val="22"/>
              </w:rPr>
              <w:t xml:space="preserve"> </w:t>
            </w:r>
            <w:r w:rsidR="00B411B3">
              <w:rPr>
                <w:rFonts w:ascii="Calibri" w:eastAsia="Calibri" w:hAnsi="Calibri" w:cs="Calibri"/>
                <w:sz w:val="22"/>
                <w:szCs w:val="22"/>
              </w:rPr>
              <w:t>accounting rules, a secure business environment, good governance etc. will be important elements to trad</w:t>
            </w:r>
            <w:r w:rsidR="00E51E65">
              <w:rPr>
                <w:rFonts w:ascii="Calibri" w:eastAsia="Calibri" w:hAnsi="Calibri" w:cs="Calibri"/>
                <w:sz w:val="22"/>
                <w:szCs w:val="22"/>
              </w:rPr>
              <w:t>ing</w:t>
            </w:r>
            <w:r w:rsidR="00B411B3">
              <w:rPr>
                <w:rFonts w:ascii="Calibri" w:eastAsia="Calibri" w:hAnsi="Calibri" w:cs="Calibri"/>
                <w:sz w:val="22"/>
                <w:szCs w:val="22"/>
              </w:rPr>
              <w:t xml:space="preserve"> emissions and host</w:t>
            </w:r>
            <w:r w:rsidR="00E51E65">
              <w:rPr>
                <w:rFonts w:ascii="Calibri" w:eastAsia="Calibri" w:hAnsi="Calibri" w:cs="Calibri"/>
                <w:sz w:val="22"/>
                <w:szCs w:val="22"/>
              </w:rPr>
              <w:t>ing</w:t>
            </w:r>
            <w:r w:rsidR="00B411B3">
              <w:rPr>
                <w:rFonts w:ascii="Calibri" w:eastAsia="Calibri" w:hAnsi="Calibri" w:cs="Calibri"/>
                <w:sz w:val="22"/>
                <w:szCs w:val="22"/>
              </w:rPr>
              <w:t xml:space="preserve"> sustainable development projects.</w:t>
            </w:r>
          </w:p>
        </w:tc>
      </w:tr>
      <w:tr w:rsidR="00945E9D" w14:paraId="379AEE92" w14:textId="77777777" w:rsidTr="00B4577B">
        <w:trPr>
          <w:trHeight w:val="20"/>
        </w:trPr>
        <w:tc>
          <w:tcPr>
            <w:tcW w:w="2694" w:type="dxa"/>
            <w:vMerge w:val="restart"/>
          </w:tcPr>
          <w:p w14:paraId="38DF89C0" w14:textId="6830CF87" w:rsidR="00945E9D" w:rsidRPr="00BA3FDE" w:rsidRDefault="003C2AE4">
            <w:pPr>
              <w:rPr>
                <w:rFonts w:ascii="Calibri" w:eastAsia="Calibri" w:hAnsi="Calibri" w:cs="Calibri"/>
                <w:sz w:val="22"/>
                <w:szCs w:val="22"/>
              </w:rPr>
            </w:pPr>
            <w:r>
              <w:rPr>
                <w:rFonts w:ascii="Calibri" w:eastAsia="Calibri" w:hAnsi="Calibri" w:cs="Calibri"/>
                <w:sz w:val="22"/>
                <w:szCs w:val="22"/>
              </w:rPr>
              <w:t xml:space="preserve">2. </w:t>
            </w:r>
            <w:r w:rsidR="00945E9D" w:rsidRPr="00BA3FDE">
              <w:rPr>
                <w:rFonts w:ascii="Calibri" w:eastAsia="Calibri" w:hAnsi="Calibri" w:cs="Calibri"/>
                <w:sz w:val="22"/>
                <w:szCs w:val="22"/>
              </w:rPr>
              <w:t>A market mechanism to mitigate GHG emissions and support sustainable development</w:t>
            </w:r>
          </w:p>
        </w:tc>
        <w:tc>
          <w:tcPr>
            <w:tcW w:w="3685" w:type="dxa"/>
            <w:tcMar>
              <w:left w:w="108" w:type="dxa"/>
              <w:right w:w="108" w:type="dxa"/>
            </w:tcMar>
          </w:tcPr>
          <w:p w14:paraId="72B45A3F" w14:textId="3A55E19F" w:rsidR="00945E9D" w:rsidRPr="00BA3FDE" w:rsidRDefault="00945E9D">
            <w:pPr>
              <w:rPr>
                <w:rFonts w:ascii="Calibri" w:eastAsia="Calibri" w:hAnsi="Calibri" w:cs="Calibri"/>
                <w:sz w:val="22"/>
                <w:szCs w:val="22"/>
              </w:rPr>
            </w:pPr>
            <w:r w:rsidRPr="00BA3FDE">
              <w:rPr>
                <w:rFonts w:ascii="Calibri" w:eastAsia="Calibri" w:hAnsi="Calibri" w:cs="Calibri"/>
                <w:sz w:val="22"/>
                <w:szCs w:val="22"/>
              </w:rPr>
              <w:t>Rules, modalities and procedures for the mechanism on mitigation and sustainable development (</w:t>
            </w:r>
            <w:r w:rsidR="005C41F9">
              <w:rPr>
                <w:rFonts w:ascii="Calibri" w:eastAsia="Calibri" w:hAnsi="Calibri" w:cs="Calibri"/>
                <w:sz w:val="22"/>
                <w:szCs w:val="22"/>
              </w:rPr>
              <w:t xml:space="preserve">PA </w:t>
            </w:r>
            <w:r w:rsidRPr="00BA3FDE">
              <w:rPr>
                <w:rFonts w:ascii="Calibri" w:eastAsia="Calibri" w:hAnsi="Calibri" w:cs="Calibri"/>
                <w:sz w:val="22"/>
                <w:szCs w:val="22"/>
              </w:rPr>
              <w:t xml:space="preserve">Art.6.7, </w:t>
            </w:r>
            <w:r w:rsidR="00E51E65">
              <w:rPr>
                <w:rFonts w:ascii="Calibri" w:eastAsia="Calibri" w:hAnsi="Calibri" w:cs="Calibri"/>
                <w:sz w:val="22"/>
                <w:szCs w:val="22"/>
              </w:rPr>
              <w:t xml:space="preserve">1/CP.21 </w:t>
            </w:r>
            <w:r w:rsidRPr="00BA3FDE">
              <w:rPr>
                <w:rFonts w:ascii="Calibri" w:eastAsia="Calibri" w:hAnsi="Calibri" w:cs="Calibri"/>
                <w:sz w:val="22"/>
                <w:szCs w:val="22"/>
              </w:rPr>
              <w:t>para.38) at CMA1</w:t>
            </w:r>
            <w:r w:rsidR="009D4F0B">
              <w:rPr>
                <w:rFonts w:ascii="Calibri" w:eastAsia="Calibri" w:hAnsi="Calibri" w:cs="Calibri"/>
                <w:sz w:val="22"/>
                <w:szCs w:val="22"/>
              </w:rPr>
              <w:t xml:space="preserve"> (Katowice, 2018)</w:t>
            </w:r>
          </w:p>
        </w:tc>
        <w:tc>
          <w:tcPr>
            <w:tcW w:w="3686" w:type="dxa"/>
            <w:shd w:val="clear" w:color="auto" w:fill="auto"/>
            <w:tcMar>
              <w:left w:w="108" w:type="dxa"/>
              <w:right w:w="108" w:type="dxa"/>
            </w:tcMar>
          </w:tcPr>
          <w:p w14:paraId="0BF71861" w14:textId="643D3226" w:rsidR="00945E9D" w:rsidRPr="00BA3FDE" w:rsidRDefault="00945E9D">
            <w:pPr>
              <w:widowControl w:val="0"/>
              <w:rPr>
                <w:rFonts w:ascii="Calibri" w:eastAsia="Calibri" w:hAnsi="Calibri" w:cs="Calibri"/>
                <w:sz w:val="22"/>
                <w:szCs w:val="22"/>
              </w:rPr>
            </w:pPr>
            <w:r w:rsidRPr="00BA3FDE">
              <w:rPr>
                <w:rFonts w:ascii="Calibri" w:eastAsia="Calibri" w:hAnsi="Calibri" w:cs="Calibri"/>
                <w:sz w:val="22"/>
                <w:szCs w:val="22"/>
              </w:rPr>
              <w:t xml:space="preserve">Despite progress in some areas – </w:t>
            </w:r>
            <w:r w:rsidR="005C41F9">
              <w:rPr>
                <w:rFonts w:ascii="Calibri" w:eastAsia="Calibri" w:hAnsi="Calibri" w:cs="Calibri"/>
                <w:sz w:val="22"/>
                <w:szCs w:val="22"/>
              </w:rPr>
              <w:t>only a procedural decision</w:t>
            </w:r>
            <w:r w:rsidRPr="00BA3FDE">
              <w:rPr>
                <w:rFonts w:ascii="Calibri" w:eastAsia="Calibri" w:hAnsi="Calibri" w:cs="Calibri"/>
                <w:sz w:val="22"/>
                <w:szCs w:val="22"/>
              </w:rPr>
              <w:t xml:space="preserve"> was reached in Katowice</w:t>
            </w:r>
            <w:r w:rsidR="005C41F9">
              <w:rPr>
                <w:rFonts w:ascii="Calibri" w:eastAsia="Calibri" w:hAnsi="Calibri" w:cs="Calibri"/>
                <w:sz w:val="22"/>
                <w:szCs w:val="22"/>
              </w:rPr>
              <w:t xml:space="preserve"> (8/CMA.1)</w:t>
            </w:r>
          </w:p>
        </w:tc>
        <w:tc>
          <w:tcPr>
            <w:tcW w:w="3875" w:type="dxa"/>
            <w:vMerge/>
            <w:tcMar>
              <w:left w:w="108" w:type="dxa"/>
              <w:right w:w="108" w:type="dxa"/>
            </w:tcMar>
          </w:tcPr>
          <w:p w14:paraId="216EED86" w14:textId="365A07BA" w:rsidR="00945E9D" w:rsidRPr="00BA3FDE" w:rsidRDefault="00945E9D">
            <w:pPr>
              <w:widowControl w:val="0"/>
              <w:rPr>
                <w:rFonts w:ascii="Calibri" w:eastAsia="Calibri" w:hAnsi="Calibri" w:cs="Calibri"/>
                <w:sz w:val="22"/>
                <w:szCs w:val="22"/>
              </w:rPr>
            </w:pPr>
          </w:p>
        </w:tc>
      </w:tr>
      <w:tr w:rsidR="00945E9D" w14:paraId="65C88F49" w14:textId="77777777" w:rsidTr="00B4577B">
        <w:trPr>
          <w:trHeight w:val="20"/>
        </w:trPr>
        <w:tc>
          <w:tcPr>
            <w:tcW w:w="2694" w:type="dxa"/>
            <w:vMerge/>
          </w:tcPr>
          <w:p w14:paraId="4DBF160E" w14:textId="77777777" w:rsidR="00945E9D" w:rsidRPr="00BA3FDE" w:rsidRDefault="00945E9D">
            <w:pPr>
              <w:widowControl w:val="0"/>
              <w:pBdr>
                <w:top w:val="nil"/>
                <w:left w:val="nil"/>
                <w:bottom w:val="nil"/>
                <w:right w:val="nil"/>
                <w:between w:val="nil"/>
              </w:pBdr>
              <w:spacing w:line="276" w:lineRule="auto"/>
              <w:rPr>
                <w:rFonts w:ascii="Calibri" w:eastAsia="Calibri" w:hAnsi="Calibri" w:cs="Calibri"/>
                <w:sz w:val="22"/>
                <w:szCs w:val="22"/>
              </w:rPr>
            </w:pPr>
          </w:p>
        </w:tc>
        <w:tc>
          <w:tcPr>
            <w:tcW w:w="3685" w:type="dxa"/>
            <w:tcMar>
              <w:left w:w="108" w:type="dxa"/>
              <w:right w:w="108" w:type="dxa"/>
            </w:tcMar>
          </w:tcPr>
          <w:p w14:paraId="36BDE7B6" w14:textId="77777777" w:rsidR="00945E9D" w:rsidRPr="00BA3FDE" w:rsidRDefault="00945E9D">
            <w:pPr>
              <w:rPr>
                <w:rFonts w:ascii="Calibri" w:eastAsia="Calibri" w:hAnsi="Calibri" w:cs="Calibri"/>
                <w:sz w:val="22"/>
                <w:szCs w:val="22"/>
              </w:rPr>
            </w:pPr>
            <w:r w:rsidRPr="00BA3FDE">
              <w:rPr>
                <w:rFonts w:ascii="Calibri" w:eastAsia="Calibri" w:hAnsi="Calibri" w:cs="Calibri"/>
                <w:sz w:val="22"/>
                <w:szCs w:val="22"/>
              </w:rPr>
              <w:t>Designation of a body to supervise the mechanism on mitigation and sustainable development (PA Art.6.4)</w:t>
            </w:r>
          </w:p>
        </w:tc>
        <w:tc>
          <w:tcPr>
            <w:tcW w:w="3686" w:type="dxa"/>
            <w:shd w:val="clear" w:color="auto" w:fill="auto"/>
            <w:tcMar>
              <w:left w:w="108" w:type="dxa"/>
              <w:right w:w="108" w:type="dxa"/>
            </w:tcMar>
          </w:tcPr>
          <w:p w14:paraId="2E6EF5AE" w14:textId="09CE3F2C" w:rsidR="00945E9D" w:rsidRPr="00BA3FDE" w:rsidRDefault="00945E9D">
            <w:pPr>
              <w:widowControl w:val="0"/>
              <w:rPr>
                <w:rFonts w:ascii="Calibri" w:eastAsia="Calibri" w:hAnsi="Calibri" w:cs="Calibri"/>
                <w:sz w:val="22"/>
                <w:szCs w:val="22"/>
              </w:rPr>
            </w:pPr>
            <w:r w:rsidRPr="00BA3FDE">
              <w:rPr>
                <w:rFonts w:ascii="Calibri" w:eastAsia="Calibri" w:hAnsi="Calibri" w:cs="Calibri"/>
                <w:sz w:val="22"/>
                <w:szCs w:val="22"/>
              </w:rPr>
              <w:t>Discussed as part of the rules, modalities and procedures – no agreement</w:t>
            </w:r>
            <w:r w:rsidR="005C41F9">
              <w:rPr>
                <w:rFonts w:ascii="Calibri" w:eastAsia="Calibri" w:hAnsi="Calibri" w:cs="Calibri"/>
                <w:sz w:val="22"/>
                <w:szCs w:val="22"/>
              </w:rPr>
              <w:t xml:space="preserve"> (8/CMA.1)</w:t>
            </w:r>
          </w:p>
        </w:tc>
        <w:tc>
          <w:tcPr>
            <w:tcW w:w="3875" w:type="dxa"/>
            <w:vMerge/>
            <w:tcMar>
              <w:left w:w="108" w:type="dxa"/>
              <w:right w:w="108" w:type="dxa"/>
            </w:tcMar>
          </w:tcPr>
          <w:p w14:paraId="71D3CF67" w14:textId="36E728B0" w:rsidR="00945E9D" w:rsidRPr="00BA3FDE" w:rsidRDefault="00945E9D">
            <w:pPr>
              <w:widowControl w:val="0"/>
              <w:rPr>
                <w:rFonts w:ascii="Calibri" w:eastAsia="Calibri" w:hAnsi="Calibri" w:cs="Calibri"/>
                <w:sz w:val="22"/>
                <w:szCs w:val="22"/>
              </w:rPr>
            </w:pPr>
          </w:p>
        </w:tc>
      </w:tr>
      <w:tr w:rsidR="00B411B3" w14:paraId="05DA43D4" w14:textId="77777777" w:rsidTr="00B4577B">
        <w:trPr>
          <w:trHeight w:val="20"/>
        </w:trPr>
        <w:tc>
          <w:tcPr>
            <w:tcW w:w="2694" w:type="dxa"/>
          </w:tcPr>
          <w:p w14:paraId="6086990C" w14:textId="29A0A022" w:rsidR="00B411B3" w:rsidRPr="00BA3FDE" w:rsidRDefault="003C2AE4" w:rsidP="00B411B3">
            <w:pPr>
              <w:rPr>
                <w:rFonts w:ascii="Calibri" w:eastAsia="Calibri" w:hAnsi="Calibri" w:cs="Calibri"/>
                <w:sz w:val="22"/>
                <w:szCs w:val="22"/>
              </w:rPr>
            </w:pPr>
            <w:r>
              <w:rPr>
                <w:rFonts w:ascii="Calibri" w:eastAsia="Calibri" w:hAnsi="Calibri" w:cs="Calibri"/>
                <w:sz w:val="22"/>
                <w:szCs w:val="22"/>
              </w:rPr>
              <w:t xml:space="preserve">3. </w:t>
            </w:r>
            <w:r w:rsidR="00B411B3" w:rsidRPr="00BA3FDE">
              <w:rPr>
                <w:rFonts w:ascii="Calibri" w:eastAsia="Calibri" w:hAnsi="Calibri" w:cs="Calibri"/>
                <w:sz w:val="22"/>
                <w:szCs w:val="22"/>
              </w:rPr>
              <w:t>A framework for non-market approaches</w:t>
            </w:r>
          </w:p>
          <w:p w14:paraId="04E821C5" w14:textId="77777777" w:rsidR="00B411B3" w:rsidRPr="00BA3FDE" w:rsidRDefault="00B411B3">
            <w:pPr>
              <w:rPr>
                <w:rFonts w:ascii="Calibri" w:eastAsia="Calibri" w:hAnsi="Calibri" w:cs="Calibri"/>
                <w:sz w:val="22"/>
                <w:szCs w:val="22"/>
              </w:rPr>
            </w:pPr>
          </w:p>
        </w:tc>
        <w:tc>
          <w:tcPr>
            <w:tcW w:w="3685" w:type="dxa"/>
            <w:tcMar>
              <w:left w:w="108" w:type="dxa"/>
              <w:right w:w="108" w:type="dxa"/>
            </w:tcMar>
          </w:tcPr>
          <w:p w14:paraId="586430DF" w14:textId="4E3D861C" w:rsidR="00B411B3" w:rsidRPr="00BA3FDE" w:rsidRDefault="00B411B3">
            <w:pPr>
              <w:rPr>
                <w:rFonts w:ascii="Calibri" w:eastAsia="Calibri" w:hAnsi="Calibri" w:cs="Calibri"/>
                <w:sz w:val="22"/>
                <w:szCs w:val="22"/>
              </w:rPr>
            </w:pPr>
            <w:r w:rsidRPr="00BA3FDE">
              <w:rPr>
                <w:rFonts w:ascii="Calibri" w:eastAsia="Calibri" w:hAnsi="Calibri" w:cs="Calibri"/>
                <w:sz w:val="22"/>
                <w:szCs w:val="22"/>
              </w:rPr>
              <w:t>Work programme under the framework for non-market approaches to sustainable development (</w:t>
            </w:r>
            <w:r w:rsidR="00D45A55">
              <w:rPr>
                <w:rFonts w:ascii="Calibri" w:eastAsia="Calibri" w:hAnsi="Calibri" w:cs="Calibri"/>
                <w:sz w:val="22"/>
                <w:szCs w:val="22"/>
              </w:rPr>
              <w:t xml:space="preserve">PA Art. 6.8, </w:t>
            </w:r>
            <w:r w:rsidR="005C41F9">
              <w:rPr>
                <w:rFonts w:ascii="Calibri" w:eastAsia="Calibri" w:hAnsi="Calibri" w:cs="Calibri"/>
                <w:sz w:val="22"/>
                <w:szCs w:val="22"/>
              </w:rPr>
              <w:t xml:space="preserve">1/CP.21 </w:t>
            </w:r>
            <w:r w:rsidRPr="00BA3FDE">
              <w:rPr>
                <w:rFonts w:ascii="Calibri" w:eastAsia="Calibri" w:hAnsi="Calibri" w:cs="Calibri"/>
                <w:sz w:val="22"/>
                <w:szCs w:val="22"/>
              </w:rPr>
              <w:t>paras.39–40) at CMA1</w:t>
            </w:r>
            <w:r w:rsidR="009D4F0B">
              <w:rPr>
                <w:rFonts w:ascii="Calibri" w:eastAsia="Calibri" w:hAnsi="Calibri" w:cs="Calibri"/>
                <w:sz w:val="22"/>
                <w:szCs w:val="22"/>
              </w:rPr>
              <w:t xml:space="preserve"> (Katowice, 2018)</w:t>
            </w:r>
          </w:p>
        </w:tc>
        <w:tc>
          <w:tcPr>
            <w:tcW w:w="3686" w:type="dxa"/>
            <w:shd w:val="clear" w:color="auto" w:fill="auto"/>
            <w:tcMar>
              <w:left w:w="108" w:type="dxa"/>
              <w:right w:w="108" w:type="dxa"/>
            </w:tcMar>
          </w:tcPr>
          <w:p w14:paraId="16B3BE98" w14:textId="4BDC6FCC" w:rsidR="00B411B3" w:rsidRPr="00BA3FDE" w:rsidRDefault="00B411B3">
            <w:pPr>
              <w:widowControl w:val="0"/>
              <w:rPr>
                <w:rFonts w:ascii="Calibri" w:eastAsia="Calibri" w:hAnsi="Calibri" w:cs="Calibri"/>
                <w:sz w:val="22"/>
                <w:szCs w:val="22"/>
              </w:rPr>
            </w:pPr>
            <w:r w:rsidRPr="00BA3FDE">
              <w:rPr>
                <w:rFonts w:ascii="Calibri" w:eastAsia="Calibri" w:hAnsi="Calibri" w:cs="Calibri"/>
                <w:sz w:val="22"/>
                <w:szCs w:val="22"/>
              </w:rPr>
              <w:t>Despite progress in some areas – no agreement was reached in Katowice</w:t>
            </w:r>
            <w:r w:rsidR="005C41F9">
              <w:rPr>
                <w:rFonts w:ascii="Calibri" w:eastAsia="Calibri" w:hAnsi="Calibri" w:cs="Calibri"/>
                <w:sz w:val="22"/>
                <w:szCs w:val="22"/>
              </w:rPr>
              <w:t xml:space="preserve"> (8/CMA.1)</w:t>
            </w:r>
          </w:p>
        </w:tc>
        <w:tc>
          <w:tcPr>
            <w:tcW w:w="3875" w:type="dxa"/>
            <w:tcMar>
              <w:left w:w="108" w:type="dxa"/>
              <w:right w:w="108" w:type="dxa"/>
            </w:tcMar>
          </w:tcPr>
          <w:p w14:paraId="08A3900F" w14:textId="78DCAB9D" w:rsidR="00B411B3" w:rsidRPr="00BA3FDE" w:rsidRDefault="00B411B3">
            <w:pPr>
              <w:widowControl w:val="0"/>
              <w:rPr>
                <w:rFonts w:ascii="Calibri" w:eastAsia="Calibri" w:hAnsi="Calibri" w:cs="Calibri"/>
                <w:sz w:val="22"/>
                <w:szCs w:val="22"/>
              </w:rPr>
            </w:pPr>
            <w:r>
              <w:rPr>
                <w:rFonts w:ascii="Calibri" w:eastAsia="Calibri" w:hAnsi="Calibri" w:cs="Calibri"/>
                <w:sz w:val="22"/>
                <w:szCs w:val="22"/>
              </w:rPr>
              <w:t>Work program will initially be international process.</w:t>
            </w:r>
          </w:p>
        </w:tc>
      </w:tr>
      <w:tr w:rsidR="00E57B69" w14:paraId="42264781" w14:textId="77777777">
        <w:trPr>
          <w:trHeight w:val="20"/>
        </w:trPr>
        <w:tc>
          <w:tcPr>
            <w:tcW w:w="13940" w:type="dxa"/>
            <w:gridSpan w:val="4"/>
            <w:shd w:val="clear" w:color="auto" w:fill="D9D9D9"/>
          </w:tcPr>
          <w:p w14:paraId="395D0F71" w14:textId="77777777" w:rsidR="00E57B69" w:rsidRPr="00BA3FDE" w:rsidRDefault="00470786">
            <w:pPr>
              <w:widowControl w:val="0"/>
              <w:rPr>
                <w:rFonts w:ascii="Calibri" w:eastAsia="Calibri" w:hAnsi="Calibri" w:cs="Calibri"/>
                <w:sz w:val="22"/>
                <w:szCs w:val="22"/>
              </w:rPr>
            </w:pPr>
            <w:r w:rsidRPr="00BA3FDE">
              <w:rPr>
                <w:rFonts w:ascii="Calibri" w:eastAsia="Calibri" w:hAnsi="Calibri" w:cs="Calibri"/>
                <w:sz w:val="22"/>
                <w:szCs w:val="22"/>
              </w:rPr>
              <w:t>Adaptation</w:t>
            </w:r>
          </w:p>
        </w:tc>
      </w:tr>
      <w:tr w:rsidR="00E57B69" w14:paraId="1D9F5995" w14:textId="77777777" w:rsidTr="00B4577B">
        <w:trPr>
          <w:trHeight w:val="20"/>
        </w:trPr>
        <w:tc>
          <w:tcPr>
            <w:tcW w:w="2694" w:type="dxa"/>
          </w:tcPr>
          <w:p w14:paraId="5191F774" w14:textId="22BBAD52" w:rsidR="00E57B69" w:rsidRPr="00BA3FDE" w:rsidRDefault="006248DC">
            <w:pPr>
              <w:rPr>
                <w:rFonts w:ascii="Calibri" w:eastAsia="Calibri" w:hAnsi="Calibri" w:cs="Calibri"/>
                <w:sz w:val="22"/>
                <w:szCs w:val="22"/>
              </w:rPr>
            </w:pPr>
            <w:r>
              <w:rPr>
                <w:rFonts w:ascii="Calibri" w:eastAsia="Calibri" w:hAnsi="Calibri" w:cs="Calibri"/>
                <w:sz w:val="22"/>
                <w:szCs w:val="22"/>
              </w:rPr>
              <w:t xml:space="preserve">PA </w:t>
            </w:r>
            <w:r w:rsidR="00470786" w:rsidRPr="00BA3FDE">
              <w:rPr>
                <w:rFonts w:ascii="Calibri" w:eastAsia="Calibri" w:hAnsi="Calibri" w:cs="Calibri"/>
                <w:sz w:val="22"/>
                <w:szCs w:val="22"/>
              </w:rPr>
              <w:t xml:space="preserve">Article 7: Parties </w:t>
            </w:r>
            <w:r w:rsidR="005C41F9">
              <w:rPr>
                <w:rFonts w:ascii="Calibri" w:eastAsia="Calibri" w:hAnsi="Calibri" w:cs="Calibri"/>
                <w:sz w:val="22"/>
                <w:szCs w:val="22"/>
              </w:rPr>
              <w:t xml:space="preserve">establish a </w:t>
            </w:r>
            <w:r w:rsidR="003C2AE4">
              <w:rPr>
                <w:rFonts w:ascii="Calibri" w:eastAsia="Calibri" w:hAnsi="Calibri" w:cs="Calibri"/>
                <w:sz w:val="22"/>
                <w:szCs w:val="22"/>
              </w:rPr>
              <w:t>“</w:t>
            </w:r>
            <w:r w:rsidR="005C41F9">
              <w:rPr>
                <w:rFonts w:ascii="Calibri" w:eastAsia="Calibri" w:hAnsi="Calibri" w:cs="Calibri"/>
                <w:sz w:val="22"/>
                <w:szCs w:val="22"/>
              </w:rPr>
              <w:t>global goal</w:t>
            </w:r>
            <w:r w:rsidR="003C2AE4">
              <w:rPr>
                <w:rFonts w:ascii="Calibri" w:eastAsia="Calibri" w:hAnsi="Calibri" w:cs="Calibri"/>
                <w:sz w:val="22"/>
                <w:szCs w:val="22"/>
              </w:rPr>
              <w:t>”</w:t>
            </w:r>
            <w:r w:rsidR="005C41F9">
              <w:rPr>
                <w:rFonts w:ascii="Calibri" w:eastAsia="Calibri" w:hAnsi="Calibri" w:cs="Calibri"/>
                <w:sz w:val="22"/>
                <w:szCs w:val="22"/>
              </w:rPr>
              <w:t xml:space="preserve"> on adaptation </w:t>
            </w:r>
            <w:r w:rsidR="00470786" w:rsidRPr="00BA3FDE">
              <w:rPr>
                <w:rFonts w:ascii="Calibri" w:eastAsia="Calibri" w:hAnsi="Calibri" w:cs="Calibri"/>
                <w:sz w:val="22"/>
                <w:szCs w:val="22"/>
              </w:rPr>
              <w:t>to enhance adaptive capacity, strengthen resilience and reduce vulnerability (</w:t>
            </w:r>
            <w:r w:rsidR="00A00683">
              <w:rPr>
                <w:rFonts w:ascii="Calibri" w:eastAsia="Calibri" w:hAnsi="Calibri" w:cs="Calibri"/>
                <w:sz w:val="22"/>
                <w:szCs w:val="22"/>
              </w:rPr>
              <w:t xml:space="preserve">PA Art. </w:t>
            </w:r>
            <w:r w:rsidR="00470786" w:rsidRPr="00BA3FDE">
              <w:rPr>
                <w:rFonts w:ascii="Calibri" w:eastAsia="Calibri" w:hAnsi="Calibri" w:cs="Calibri"/>
                <w:sz w:val="22"/>
                <w:szCs w:val="22"/>
              </w:rPr>
              <w:t>7.1)</w:t>
            </w:r>
            <w:r w:rsidR="005C41F9">
              <w:rPr>
                <w:rFonts w:ascii="Calibri" w:eastAsia="Calibri" w:hAnsi="Calibri" w:cs="Calibri"/>
                <w:sz w:val="22"/>
                <w:szCs w:val="22"/>
              </w:rPr>
              <w:t>.</w:t>
            </w:r>
            <w:r w:rsidR="00470786" w:rsidRPr="00BA3FDE">
              <w:rPr>
                <w:rFonts w:ascii="Calibri" w:eastAsia="Calibri" w:hAnsi="Calibri" w:cs="Calibri"/>
                <w:sz w:val="22"/>
                <w:szCs w:val="22"/>
              </w:rPr>
              <w:t xml:space="preserve"> </w:t>
            </w:r>
            <w:r w:rsidR="005C41F9">
              <w:rPr>
                <w:rFonts w:ascii="Calibri" w:eastAsia="Calibri" w:hAnsi="Calibri" w:cs="Calibri"/>
                <w:sz w:val="22"/>
                <w:szCs w:val="22"/>
              </w:rPr>
              <w:t>A</w:t>
            </w:r>
            <w:r w:rsidR="00470786" w:rsidRPr="00BA3FDE">
              <w:rPr>
                <w:rFonts w:ascii="Calibri" w:eastAsia="Calibri" w:hAnsi="Calibri" w:cs="Calibri"/>
                <w:sz w:val="22"/>
                <w:szCs w:val="22"/>
              </w:rPr>
              <w:t xml:space="preserve">s appropriate, </w:t>
            </w:r>
            <w:r w:rsidR="005C41F9">
              <w:rPr>
                <w:rFonts w:ascii="Calibri" w:eastAsia="Calibri" w:hAnsi="Calibri" w:cs="Calibri"/>
                <w:sz w:val="22"/>
                <w:szCs w:val="22"/>
              </w:rPr>
              <w:t xml:space="preserve">Parties agree to </w:t>
            </w:r>
            <w:r w:rsidR="00470786" w:rsidRPr="00BA3FDE">
              <w:rPr>
                <w:rFonts w:ascii="Calibri" w:eastAsia="Calibri" w:hAnsi="Calibri" w:cs="Calibri"/>
                <w:sz w:val="22"/>
                <w:szCs w:val="22"/>
              </w:rPr>
              <w:t xml:space="preserve">engage in adaptation </w:t>
            </w:r>
            <w:r w:rsidR="003C2AE4">
              <w:rPr>
                <w:rFonts w:ascii="Calibri" w:eastAsia="Calibri" w:hAnsi="Calibri" w:cs="Calibri"/>
                <w:sz w:val="22"/>
                <w:szCs w:val="22"/>
              </w:rPr>
              <w:t>planning processes and</w:t>
            </w:r>
            <w:r w:rsidR="00470786" w:rsidRPr="00BA3FDE">
              <w:rPr>
                <w:rFonts w:ascii="Calibri" w:eastAsia="Calibri" w:hAnsi="Calibri" w:cs="Calibri"/>
                <w:sz w:val="22"/>
                <w:szCs w:val="22"/>
              </w:rPr>
              <w:t xml:space="preserve"> the </w:t>
            </w:r>
            <w:r w:rsidR="00470786" w:rsidRPr="00BA3FDE">
              <w:rPr>
                <w:rFonts w:ascii="Calibri" w:eastAsia="Calibri" w:hAnsi="Calibri" w:cs="Calibri"/>
                <w:sz w:val="22"/>
                <w:szCs w:val="22"/>
              </w:rPr>
              <w:lastRenderedPageBreak/>
              <w:t>implementation of actions (</w:t>
            </w:r>
            <w:r w:rsidR="00A00683">
              <w:rPr>
                <w:rFonts w:ascii="Calibri" w:eastAsia="Calibri" w:hAnsi="Calibri" w:cs="Calibri"/>
                <w:sz w:val="22"/>
                <w:szCs w:val="22"/>
              </w:rPr>
              <w:t xml:space="preserve">PA Art. </w:t>
            </w:r>
            <w:r w:rsidR="00470786" w:rsidRPr="00BA3FDE">
              <w:rPr>
                <w:rFonts w:ascii="Calibri" w:eastAsia="Calibri" w:hAnsi="Calibri" w:cs="Calibri"/>
                <w:sz w:val="22"/>
                <w:szCs w:val="22"/>
              </w:rPr>
              <w:t xml:space="preserve">7.9) </w:t>
            </w:r>
          </w:p>
        </w:tc>
        <w:tc>
          <w:tcPr>
            <w:tcW w:w="3685" w:type="dxa"/>
            <w:tcMar>
              <w:left w:w="108" w:type="dxa"/>
              <w:right w:w="108" w:type="dxa"/>
            </w:tcMar>
          </w:tcPr>
          <w:p w14:paraId="67CF03F1" w14:textId="3D1A91C0" w:rsidR="00E57B69" w:rsidRPr="00BA3FDE" w:rsidRDefault="00470786">
            <w:pPr>
              <w:rPr>
                <w:rFonts w:ascii="Calibri" w:eastAsia="Calibri" w:hAnsi="Calibri" w:cs="Calibri"/>
                <w:sz w:val="22"/>
                <w:szCs w:val="22"/>
              </w:rPr>
            </w:pPr>
            <w:r w:rsidRPr="00BA3FDE">
              <w:rPr>
                <w:rFonts w:ascii="Calibri" w:eastAsia="Calibri" w:hAnsi="Calibri" w:cs="Calibri"/>
                <w:sz w:val="22"/>
                <w:szCs w:val="22"/>
              </w:rPr>
              <w:lastRenderedPageBreak/>
              <w:t>Develop modalities to recognize adaptation efforts of developing country Parties (</w:t>
            </w:r>
            <w:r w:rsidR="005C41F9">
              <w:rPr>
                <w:rFonts w:ascii="Calibri" w:eastAsia="Calibri" w:hAnsi="Calibri" w:cs="Calibri"/>
                <w:sz w:val="22"/>
                <w:szCs w:val="22"/>
              </w:rPr>
              <w:t xml:space="preserve">PA </w:t>
            </w:r>
            <w:r w:rsidRPr="00BA3FDE">
              <w:rPr>
                <w:rFonts w:ascii="Calibri" w:eastAsia="Calibri" w:hAnsi="Calibri" w:cs="Calibri"/>
                <w:sz w:val="22"/>
                <w:szCs w:val="22"/>
              </w:rPr>
              <w:t>Art.7.3, 1/CP.21 para.41) at CMA1</w:t>
            </w:r>
            <w:r w:rsidR="009D4F0B">
              <w:rPr>
                <w:rFonts w:ascii="Calibri" w:eastAsia="Calibri" w:hAnsi="Calibri" w:cs="Calibri"/>
                <w:sz w:val="22"/>
                <w:szCs w:val="22"/>
              </w:rPr>
              <w:t xml:space="preserve"> (Katowice, 2018)</w:t>
            </w:r>
          </w:p>
        </w:tc>
        <w:tc>
          <w:tcPr>
            <w:tcW w:w="3686" w:type="dxa"/>
            <w:shd w:val="clear" w:color="auto" w:fill="auto"/>
            <w:tcMar>
              <w:left w:w="108" w:type="dxa"/>
              <w:right w:w="108" w:type="dxa"/>
            </w:tcMar>
          </w:tcPr>
          <w:p w14:paraId="0BD7167C" w14:textId="7C2C4FF4" w:rsidR="00E57B69" w:rsidRPr="00BA3FDE" w:rsidRDefault="00470786">
            <w:pPr>
              <w:widowControl w:val="0"/>
              <w:rPr>
                <w:rFonts w:ascii="Calibri" w:eastAsia="Calibri" w:hAnsi="Calibri" w:cs="Calibri"/>
                <w:sz w:val="22"/>
                <w:szCs w:val="22"/>
              </w:rPr>
            </w:pPr>
            <w:r w:rsidRPr="00BA3FDE">
              <w:rPr>
                <w:rFonts w:ascii="Calibri" w:eastAsia="Calibri" w:hAnsi="Calibri" w:cs="Calibri"/>
                <w:sz w:val="22"/>
                <w:szCs w:val="22"/>
              </w:rPr>
              <w:t>Parties agreed to raise the profile of adaptation action via reports and events – but “recognition</w:t>
            </w:r>
            <w:r w:rsidR="00D45A55">
              <w:rPr>
                <w:rFonts w:ascii="Calibri" w:eastAsia="Calibri" w:hAnsi="Calibri" w:cs="Calibri"/>
                <w:sz w:val="22"/>
                <w:szCs w:val="22"/>
              </w:rPr>
              <w:t xml:space="preserve"> of adaptation efforts</w:t>
            </w:r>
            <w:r w:rsidRPr="00BA3FDE">
              <w:rPr>
                <w:rFonts w:ascii="Calibri" w:eastAsia="Calibri" w:hAnsi="Calibri" w:cs="Calibri"/>
                <w:sz w:val="22"/>
                <w:szCs w:val="22"/>
              </w:rPr>
              <w:t>” (</w:t>
            </w:r>
            <w:r w:rsidR="005C41F9">
              <w:rPr>
                <w:rFonts w:ascii="Calibri" w:eastAsia="Calibri" w:hAnsi="Calibri" w:cs="Calibri"/>
                <w:sz w:val="22"/>
                <w:szCs w:val="22"/>
              </w:rPr>
              <w:t xml:space="preserve">PA </w:t>
            </w:r>
            <w:r w:rsidRPr="00BA3FDE">
              <w:rPr>
                <w:rFonts w:ascii="Calibri" w:eastAsia="Calibri" w:hAnsi="Calibri" w:cs="Calibri"/>
                <w:sz w:val="22"/>
                <w:szCs w:val="22"/>
              </w:rPr>
              <w:t xml:space="preserve">Art.7.3) </w:t>
            </w:r>
            <w:r w:rsidR="00D45A55">
              <w:rPr>
                <w:rFonts w:ascii="Calibri" w:eastAsia="Calibri" w:hAnsi="Calibri" w:cs="Calibri"/>
                <w:sz w:val="22"/>
                <w:szCs w:val="22"/>
              </w:rPr>
              <w:t>will be made primarily on a collective basis through the global stocktake</w:t>
            </w:r>
            <w:r w:rsidRPr="00BA3FDE">
              <w:rPr>
                <w:rFonts w:ascii="Calibri" w:eastAsia="Calibri" w:hAnsi="Calibri" w:cs="Calibri"/>
                <w:sz w:val="22"/>
                <w:szCs w:val="22"/>
              </w:rPr>
              <w:t xml:space="preserve"> </w:t>
            </w:r>
            <w:r w:rsidR="00D45A55">
              <w:rPr>
                <w:rFonts w:ascii="Calibri" w:eastAsia="Calibri" w:hAnsi="Calibri" w:cs="Calibri"/>
                <w:sz w:val="22"/>
                <w:szCs w:val="22"/>
              </w:rPr>
              <w:t xml:space="preserve">process </w:t>
            </w:r>
            <w:r w:rsidR="00BE7F42" w:rsidRPr="00BA3FDE">
              <w:rPr>
                <w:rFonts w:ascii="Calibri" w:eastAsia="Calibri" w:hAnsi="Calibri" w:cs="Calibri"/>
                <w:sz w:val="22"/>
                <w:szCs w:val="22"/>
              </w:rPr>
              <w:t>(11/CMA.1, para</w:t>
            </w:r>
            <w:r w:rsidR="00B650D3" w:rsidRPr="00BA3FDE">
              <w:rPr>
                <w:rFonts w:ascii="Calibri" w:eastAsia="Calibri" w:hAnsi="Calibri" w:cs="Calibri"/>
                <w:sz w:val="22"/>
                <w:szCs w:val="22"/>
              </w:rPr>
              <w:t>s 9-12)</w:t>
            </w:r>
          </w:p>
        </w:tc>
        <w:tc>
          <w:tcPr>
            <w:tcW w:w="3875" w:type="dxa"/>
            <w:tcMar>
              <w:left w:w="108" w:type="dxa"/>
              <w:right w:w="108" w:type="dxa"/>
            </w:tcMar>
          </w:tcPr>
          <w:p w14:paraId="6CE24777" w14:textId="5D79479A" w:rsidR="00AA33D3" w:rsidRDefault="00746DC6" w:rsidP="00F439C5">
            <w:pPr>
              <w:widowControl w:val="0"/>
              <w:rPr>
                <w:rFonts w:ascii="Calibri" w:eastAsia="Calibri" w:hAnsi="Calibri" w:cs="Calibri"/>
                <w:sz w:val="22"/>
                <w:szCs w:val="22"/>
              </w:rPr>
            </w:pPr>
            <w:r>
              <w:rPr>
                <w:rFonts w:ascii="Calibri" w:eastAsia="Calibri" w:hAnsi="Calibri" w:cs="Calibri"/>
                <w:sz w:val="22"/>
                <w:szCs w:val="22"/>
              </w:rPr>
              <w:t>C</w:t>
            </w:r>
            <w:r w:rsidR="00AA33D3">
              <w:rPr>
                <w:rFonts w:ascii="Calibri" w:eastAsia="Calibri" w:hAnsi="Calibri" w:cs="Calibri"/>
                <w:sz w:val="22"/>
                <w:szCs w:val="22"/>
              </w:rPr>
              <w:t xml:space="preserve">ountries – depending on their specific climate vulnerabilities </w:t>
            </w:r>
            <w:r w:rsidR="00A00683">
              <w:rPr>
                <w:rFonts w:ascii="Calibri" w:eastAsia="Calibri" w:hAnsi="Calibri" w:cs="Calibri"/>
                <w:sz w:val="22"/>
                <w:szCs w:val="22"/>
              </w:rPr>
              <w:t xml:space="preserve">– may </w:t>
            </w:r>
            <w:r w:rsidR="00AA33D3">
              <w:rPr>
                <w:rFonts w:ascii="Calibri" w:eastAsia="Calibri" w:hAnsi="Calibri" w:cs="Calibri"/>
                <w:sz w:val="22"/>
                <w:szCs w:val="22"/>
              </w:rPr>
              <w:t xml:space="preserve">review and develop law, policy, plans and programs in areas such as </w:t>
            </w:r>
            <w:r w:rsidR="00F439C5" w:rsidRPr="00F439C5">
              <w:rPr>
                <w:rFonts w:ascii="Calibri" w:eastAsia="Calibri" w:hAnsi="Calibri" w:cs="Calibri"/>
                <w:sz w:val="22"/>
                <w:szCs w:val="22"/>
              </w:rPr>
              <w:t>planning</w:t>
            </w:r>
            <w:r w:rsidR="00AA33D3">
              <w:rPr>
                <w:rFonts w:ascii="Calibri" w:eastAsia="Calibri" w:hAnsi="Calibri" w:cs="Calibri"/>
                <w:sz w:val="22"/>
                <w:szCs w:val="22"/>
              </w:rPr>
              <w:t xml:space="preserve">, building, coastal protection, </w:t>
            </w:r>
            <w:r w:rsidR="00F439C5" w:rsidRPr="00F439C5">
              <w:rPr>
                <w:rFonts w:ascii="Calibri" w:eastAsia="Calibri" w:hAnsi="Calibri" w:cs="Calibri"/>
                <w:sz w:val="22"/>
                <w:szCs w:val="22"/>
              </w:rPr>
              <w:t>disaster risk reduction</w:t>
            </w:r>
            <w:r w:rsidR="00AA33D3">
              <w:rPr>
                <w:rFonts w:ascii="Calibri" w:eastAsia="Calibri" w:hAnsi="Calibri" w:cs="Calibri"/>
                <w:sz w:val="22"/>
                <w:szCs w:val="22"/>
              </w:rPr>
              <w:t>, food security etc.</w:t>
            </w:r>
            <w:r w:rsidR="00F439C5" w:rsidRPr="00F439C5">
              <w:rPr>
                <w:rFonts w:ascii="Calibri" w:eastAsia="Calibri" w:hAnsi="Calibri" w:cs="Calibri"/>
                <w:sz w:val="22"/>
                <w:szCs w:val="22"/>
              </w:rPr>
              <w:t xml:space="preserve"> </w:t>
            </w:r>
          </w:p>
          <w:p w14:paraId="09551505" w14:textId="77777777" w:rsidR="00AA33D3" w:rsidRDefault="00AA33D3" w:rsidP="00524C0F">
            <w:pPr>
              <w:widowControl w:val="0"/>
              <w:rPr>
                <w:rFonts w:ascii="Calibri" w:eastAsia="Calibri" w:hAnsi="Calibri" w:cs="Calibri"/>
                <w:sz w:val="22"/>
                <w:szCs w:val="22"/>
              </w:rPr>
            </w:pPr>
          </w:p>
          <w:p w14:paraId="55865608" w14:textId="24204DD1" w:rsidR="00E57B69" w:rsidRPr="00BA3FDE" w:rsidRDefault="008A50B8" w:rsidP="008A50B8">
            <w:pPr>
              <w:widowControl w:val="0"/>
              <w:rPr>
                <w:rFonts w:ascii="Calibri" w:eastAsia="Calibri" w:hAnsi="Calibri" w:cs="Calibri"/>
                <w:sz w:val="22"/>
                <w:szCs w:val="22"/>
              </w:rPr>
            </w:pPr>
            <w:r>
              <w:rPr>
                <w:rFonts w:ascii="Calibri" w:eastAsia="Calibri" w:hAnsi="Calibri" w:cs="Calibri"/>
                <w:sz w:val="22"/>
                <w:szCs w:val="22"/>
              </w:rPr>
              <w:t>They should strengthen p</w:t>
            </w:r>
            <w:r w:rsidRPr="008A50B8">
              <w:rPr>
                <w:rFonts w:ascii="Calibri" w:eastAsia="Calibri" w:hAnsi="Calibri" w:cs="Calibri"/>
                <w:sz w:val="22"/>
                <w:szCs w:val="22"/>
              </w:rPr>
              <w:t xml:space="preserve">rocesses for assessing </w:t>
            </w:r>
            <w:r>
              <w:rPr>
                <w:rFonts w:ascii="Calibri" w:eastAsia="Calibri" w:hAnsi="Calibri" w:cs="Calibri"/>
                <w:sz w:val="22"/>
                <w:szCs w:val="22"/>
              </w:rPr>
              <w:t>climate change impacts,</w:t>
            </w:r>
            <w:r w:rsidRPr="008A50B8">
              <w:rPr>
                <w:rFonts w:ascii="Calibri" w:eastAsia="Calibri" w:hAnsi="Calibri" w:cs="Calibri"/>
                <w:sz w:val="22"/>
                <w:szCs w:val="22"/>
              </w:rPr>
              <w:t xml:space="preserve"> </w:t>
            </w:r>
            <w:r w:rsidRPr="008A50B8">
              <w:rPr>
                <w:rFonts w:ascii="Calibri" w:eastAsia="Calibri" w:hAnsi="Calibri" w:cs="Calibri"/>
                <w:sz w:val="22"/>
                <w:szCs w:val="22"/>
              </w:rPr>
              <w:lastRenderedPageBreak/>
              <w:t>adaptation needs</w:t>
            </w:r>
            <w:r>
              <w:rPr>
                <w:rFonts w:ascii="Calibri" w:eastAsia="Calibri" w:hAnsi="Calibri" w:cs="Calibri"/>
                <w:sz w:val="22"/>
                <w:szCs w:val="22"/>
              </w:rPr>
              <w:t>, document and record action taken.</w:t>
            </w:r>
          </w:p>
        </w:tc>
      </w:tr>
      <w:tr w:rsidR="00E57B69" w14:paraId="10A7EB20" w14:textId="77777777" w:rsidTr="00B4577B">
        <w:trPr>
          <w:trHeight w:val="20"/>
        </w:trPr>
        <w:tc>
          <w:tcPr>
            <w:tcW w:w="2694" w:type="dxa"/>
          </w:tcPr>
          <w:p w14:paraId="053C7975" w14:textId="295F8346" w:rsidR="00E57B69" w:rsidRPr="00BA3FDE" w:rsidRDefault="003C2AE4">
            <w:pPr>
              <w:widowControl w:val="0"/>
              <w:rPr>
                <w:rFonts w:ascii="Calibri" w:eastAsia="Calibri" w:hAnsi="Calibri" w:cs="Calibri"/>
                <w:sz w:val="22"/>
                <w:szCs w:val="22"/>
              </w:rPr>
            </w:pPr>
            <w:r>
              <w:rPr>
                <w:rFonts w:ascii="Calibri" w:eastAsia="Calibri" w:hAnsi="Calibri" w:cs="Calibri"/>
                <w:sz w:val="22"/>
                <w:szCs w:val="22"/>
              </w:rPr>
              <w:lastRenderedPageBreak/>
              <w:t>Parties should</w:t>
            </w:r>
            <w:r w:rsidR="00470786" w:rsidRPr="00BA3FDE">
              <w:rPr>
                <w:rFonts w:ascii="Calibri" w:eastAsia="Calibri" w:hAnsi="Calibri" w:cs="Calibri"/>
                <w:sz w:val="22"/>
                <w:szCs w:val="22"/>
              </w:rPr>
              <w:t xml:space="preserve"> submit and update an adaptation communication on </w:t>
            </w:r>
            <w:r w:rsidR="00D45A55">
              <w:rPr>
                <w:rFonts w:ascii="Calibri" w:eastAsia="Calibri" w:hAnsi="Calibri" w:cs="Calibri"/>
                <w:sz w:val="22"/>
                <w:szCs w:val="22"/>
              </w:rPr>
              <w:t xml:space="preserve">priorities, </w:t>
            </w:r>
            <w:r w:rsidR="00470786" w:rsidRPr="00BA3FDE">
              <w:rPr>
                <w:rFonts w:ascii="Calibri" w:eastAsia="Calibri" w:hAnsi="Calibri" w:cs="Calibri"/>
                <w:sz w:val="22"/>
                <w:szCs w:val="22"/>
              </w:rPr>
              <w:t>needs, plans and actions</w:t>
            </w:r>
            <w:r w:rsidR="00747682">
              <w:rPr>
                <w:rFonts w:ascii="Calibri" w:eastAsia="Calibri" w:hAnsi="Calibri" w:cs="Calibri"/>
                <w:sz w:val="22"/>
                <w:szCs w:val="22"/>
              </w:rPr>
              <w:t>, without this creating any additional burden for developing country Parties</w:t>
            </w:r>
            <w:r w:rsidR="00470786" w:rsidRPr="00BA3FDE">
              <w:rPr>
                <w:rFonts w:ascii="Calibri" w:eastAsia="Calibri" w:hAnsi="Calibri" w:cs="Calibri"/>
                <w:sz w:val="22"/>
                <w:szCs w:val="22"/>
              </w:rPr>
              <w:t xml:space="preserve"> (</w:t>
            </w:r>
            <w:r w:rsidR="00A00683">
              <w:rPr>
                <w:rFonts w:ascii="Calibri" w:eastAsia="Calibri" w:hAnsi="Calibri" w:cs="Calibri"/>
                <w:sz w:val="22"/>
                <w:szCs w:val="22"/>
              </w:rPr>
              <w:t xml:space="preserve">PA Art. </w:t>
            </w:r>
            <w:r w:rsidR="00470786" w:rsidRPr="00BA3FDE">
              <w:rPr>
                <w:rFonts w:ascii="Calibri" w:eastAsia="Calibri" w:hAnsi="Calibri" w:cs="Calibri"/>
                <w:sz w:val="22"/>
                <w:szCs w:val="22"/>
              </w:rPr>
              <w:t>7.10)</w:t>
            </w:r>
          </w:p>
        </w:tc>
        <w:tc>
          <w:tcPr>
            <w:tcW w:w="3685" w:type="dxa"/>
            <w:tcMar>
              <w:left w:w="108" w:type="dxa"/>
              <w:right w:w="108" w:type="dxa"/>
            </w:tcMar>
          </w:tcPr>
          <w:p w14:paraId="7C0C2630" w14:textId="77777777" w:rsidR="00E57B69" w:rsidRPr="00BA3FDE" w:rsidRDefault="00470786">
            <w:pPr>
              <w:widowControl w:val="0"/>
              <w:rPr>
                <w:rFonts w:ascii="Calibri" w:eastAsia="Calibri" w:hAnsi="Calibri" w:cs="Calibri"/>
                <w:sz w:val="22"/>
                <w:szCs w:val="22"/>
              </w:rPr>
            </w:pPr>
            <w:r w:rsidRPr="00BA3FDE">
              <w:rPr>
                <w:rFonts w:ascii="Calibri" w:eastAsia="Calibri" w:hAnsi="Calibri" w:cs="Calibri"/>
                <w:sz w:val="22"/>
                <w:szCs w:val="22"/>
              </w:rPr>
              <w:t>Develop further guidance in relation to the adaptation communication</w:t>
            </w:r>
          </w:p>
        </w:tc>
        <w:tc>
          <w:tcPr>
            <w:tcW w:w="3686" w:type="dxa"/>
            <w:shd w:val="clear" w:color="auto" w:fill="auto"/>
            <w:tcMar>
              <w:left w:w="108" w:type="dxa"/>
              <w:right w:w="108" w:type="dxa"/>
            </w:tcMar>
          </w:tcPr>
          <w:p w14:paraId="7921F17A" w14:textId="592424BD" w:rsidR="00E57B69" w:rsidRPr="00BA3FDE" w:rsidRDefault="00470786">
            <w:pPr>
              <w:widowControl w:val="0"/>
              <w:rPr>
                <w:rFonts w:ascii="Calibri" w:eastAsia="Calibri" w:hAnsi="Calibri" w:cs="Calibri"/>
                <w:sz w:val="22"/>
                <w:szCs w:val="22"/>
              </w:rPr>
            </w:pPr>
            <w:r w:rsidRPr="00BA3FDE">
              <w:rPr>
                <w:rFonts w:ascii="Calibri" w:eastAsia="Calibri" w:hAnsi="Calibri" w:cs="Calibri"/>
                <w:sz w:val="22"/>
                <w:szCs w:val="22"/>
              </w:rPr>
              <w:t>Flexible, voluntary guidance was adopted; information can be part of the NDC</w:t>
            </w:r>
            <w:r w:rsidR="00D45A55">
              <w:rPr>
                <w:rFonts w:ascii="Calibri" w:eastAsia="Calibri" w:hAnsi="Calibri" w:cs="Calibri"/>
                <w:sz w:val="22"/>
                <w:szCs w:val="22"/>
              </w:rPr>
              <w:t>, national adaptation plans, national communications</w:t>
            </w:r>
            <w:r w:rsidRPr="00BA3FDE">
              <w:rPr>
                <w:rFonts w:ascii="Calibri" w:eastAsia="Calibri" w:hAnsi="Calibri" w:cs="Calibri"/>
                <w:sz w:val="22"/>
                <w:szCs w:val="22"/>
              </w:rPr>
              <w:t xml:space="preserve"> or another communication</w:t>
            </w:r>
            <w:r w:rsidR="00D45A55">
              <w:rPr>
                <w:rFonts w:ascii="Calibri" w:eastAsia="Calibri" w:hAnsi="Calibri" w:cs="Calibri"/>
                <w:sz w:val="22"/>
                <w:szCs w:val="22"/>
              </w:rPr>
              <w:t>, including as a component of biennial transparency reports</w:t>
            </w:r>
            <w:r w:rsidR="00E753CA" w:rsidRPr="00BA3FDE">
              <w:rPr>
                <w:rFonts w:ascii="Calibri" w:eastAsia="Calibri" w:hAnsi="Calibri" w:cs="Calibri"/>
                <w:sz w:val="22"/>
                <w:szCs w:val="22"/>
              </w:rPr>
              <w:t xml:space="preserve"> </w:t>
            </w:r>
            <w:r w:rsidR="00D45A55">
              <w:rPr>
                <w:rFonts w:ascii="Calibri" w:eastAsia="Calibri" w:hAnsi="Calibri" w:cs="Calibri"/>
                <w:sz w:val="22"/>
                <w:szCs w:val="22"/>
              </w:rPr>
              <w:t xml:space="preserve">(BTRs) </w:t>
            </w:r>
            <w:r w:rsidR="008E21AE" w:rsidRPr="00BA3FDE">
              <w:rPr>
                <w:rFonts w:ascii="Calibri" w:eastAsia="Calibri" w:hAnsi="Calibri" w:cs="Calibri"/>
                <w:sz w:val="22"/>
                <w:szCs w:val="22"/>
              </w:rPr>
              <w:t>(9/CMA.1 &amp; Annex)</w:t>
            </w:r>
          </w:p>
        </w:tc>
        <w:tc>
          <w:tcPr>
            <w:tcW w:w="3875" w:type="dxa"/>
            <w:tcMar>
              <w:left w:w="108" w:type="dxa"/>
              <w:right w:w="108" w:type="dxa"/>
            </w:tcMar>
          </w:tcPr>
          <w:p w14:paraId="0F618E42" w14:textId="6B4DAF70" w:rsidR="00746DC6" w:rsidRPr="003C2AE4" w:rsidRDefault="003C2AE4" w:rsidP="008B4635">
            <w:pPr>
              <w:widowControl w:val="0"/>
              <w:rPr>
                <w:rFonts w:ascii="Calibri" w:eastAsia="Calibri" w:hAnsi="Calibri" w:cs="Calibri"/>
                <w:sz w:val="22"/>
                <w:szCs w:val="22"/>
              </w:rPr>
            </w:pPr>
            <w:r w:rsidRPr="003C2AE4">
              <w:rPr>
                <w:rFonts w:ascii="Calibri" w:eastAsia="Calibri" w:hAnsi="Calibri" w:cs="Calibri"/>
                <w:sz w:val="22"/>
                <w:szCs w:val="22"/>
              </w:rPr>
              <w:t xml:space="preserve">As </w:t>
            </w:r>
            <w:r w:rsidR="00D45A55" w:rsidRPr="003C2AE4">
              <w:rPr>
                <w:rFonts w:ascii="Calibri" w:eastAsia="Calibri" w:hAnsi="Calibri" w:cs="Calibri"/>
                <w:sz w:val="22"/>
                <w:szCs w:val="22"/>
              </w:rPr>
              <w:t>adaptation communication</w:t>
            </w:r>
            <w:r w:rsidRPr="003C2AE4">
              <w:rPr>
                <w:rFonts w:ascii="Calibri" w:eastAsia="Calibri" w:hAnsi="Calibri" w:cs="Calibri"/>
                <w:sz w:val="22"/>
                <w:szCs w:val="22"/>
              </w:rPr>
              <w:t>s</w:t>
            </w:r>
            <w:r w:rsidR="00D45A55" w:rsidRPr="003C2AE4">
              <w:rPr>
                <w:rFonts w:ascii="Calibri" w:eastAsia="Calibri" w:hAnsi="Calibri" w:cs="Calibri"/>
                <w:sz w:val="22"/>
                <w:szCs w:val="22"/>
              </w:rPr>
              <w:t xml:space="preserve"> </w:t>
            </w:r>
            <w:r w:rsidRPr="003C2AE4">
              <w:rPr>
                <w:rFonts w:ascii="Calibri" w:eastAsia="Calibri" w:hAnsi="Calibri" w:cs="Calibri"/>
                <w:sz w:val="22"/>
                <w:szCs w:val="22"/>
              </w:rPr>
              <w:t xml:space="preserve">are </w:t>
            </w:r>
            <w:r>
              <w:rPr>
                <w:rFonts w:ascii="Calibri" w:eastAsia="Calibri" w:hAnsi="Calibri" w:cs="Calibri"/>
                <w:sz w:val="22"/>
                <w:szCs w:val="22"/>
              </w:rPr>
              <w:t xml:space="preserve">voluntary </w:t>
            </w:r>
            <w:r w:rsidR="00982859" w:rsidRPr="003C2AE4">
              <w:rPr>
                <w:rFonts w:ascii="Calibri" w:eastAsia="Calibri" w:hAnsi="Calibri" w:cs="Calibri"/>
                <w:sz w:val="22"/>
                <w:szCs w:val="22"/>
              </w:rPr>
              <w:t xml:space="preserve">and </w:t>
            </w:r>
            <w:r>
              <w:rPr>
                <w:rFonts w:ascii="Calibri" w:eastAsia="Calibri" w:hAnsi="Calibri" w:cs="Calibri"/>
                <w:sz w:val="22"/>
                <w:szCs w:val="22"/>
              </w:rPr>
              <w:t>should not create</w:t>
            </w:r>
            <w:r w:rsidR="00D45A55" w:rsidRPr="003C2AE4">
              <w:rPr>
                <w:rFonts w:ascii="Calibri" w:eastAsia="Calibri" w:hAnsi="Calibri" w:cs="Calibri"/>
                <w:sz w:val="22"/>
                <w:szCs w:val="22"/>
              </w:rPr>
              <w:t xml:space="preserve"> additional burden</w:t>
            </w:r>
            <w:r>
              <w:rPr>
                <w:rFonts w:ascii="Calibri" w:eastAsia="Calibri" w:hAnsi="Calibri" w:cs="Calibri"/>
                <w:sz w:val="22"/>
                <w:szCs w:val="22"/>
              </w:rPr>
              <w:t>,</w:t>
            </w:r>
            <w:r w:rsidR="00D45A55" w:rsidRPr="003C2AE4">
              <w:rPr>
                <w:rFonts w:ascii="Calibri" w:eastAsia="Calibri" w:hAnsi="Calibri" w:cs="Calibri"/>
                <w:sz w:val="22"/>
                <w:szCs w:val="22"/>
              </w:rPr>
              <w:t xml:space="preserve"> </w:t>
            </w:r>
            <w:r w:rsidRPr="003C2AE4">
              <w:rPr>
                <w:rFonts w:ascii="Calibri" w:eastAsia="Calibri" w:hAnsi="Calibri" w:cs="Calibri"/>
                <w:sz w:val="22"/>
                <w:szCs w:val="22"/>
              </w:rPr>
              <w:t xml:space="preserve">basic </w:t>
            </w:r>
            <w:r w:rsidR="00747682" w:rsidRPr="003C2AE4">
              <w:rPr>
                <w:rFonts w:ascii="Calibri" w:eastAsia="Calibri" w:hAnsi="Calibri" w:cs="Calibri"/>
                <w:sz w:val="22"/>
                <w:szCs w:val="22"/>
              </w:rPr>
              <w:t>practices in place to</w:t>
            </w:r>
            <w:r w:rsidR="008A50B8" w:rsidRPr="003C2AE4">
              <w:rPr>
                <w:rFonts w:ascii="Calibri" w:eastAsia="Calibri" w:hAnsi="Calibri" w:cs="Calibri"/>
                <w:sz w:val="22"/>
                <w:szCs w:val="22"/>
              </w:rPr>
              <w:t xml:space="preserve"> record</w:t>
            </w:r>
            <w:r w:rsidRPr="003C2AE4">
              <w:rPr>
                <w:rFonts w:ascii="Calibri" w:eastAsia="Calibri" w:hAnsi="Calibri" w:cs="Calibri"/>
                <w:sz w:val="22"/>
                <w:szCs w:val="22"/>
              </w:rPr>
              <w:t xml:space="preserve"> and communicate </w:t>
            </w:r>
            <w:r w:rsidR="00747682" w:rsidRPr="003C2AE4">
              <w:rPr>
                <w:rFonts w:ascii="Calibri" w:eastAsia="Calibri" w:hAnsi="Calibri" w:cs="Calibri"/>
                <w:sz w:val="22"/>
                <w:szCs w:val="22"/>
              </w:rPr>
              <w:t>adaptation priorities, needs, plans and actions should suffice. However,</w:t>
            </w:r>
            <w:r>
              <w:rPr>
                <w:rFonts w:ascii="Calibri" w:eastAsia="Calibri" w:hAnsi="Calibri" w:cs="Calibri"/>
                <w:sz w:val="22"/>
                <w:szCs w:val="22"/>
              </w:rPr>
              <w:t xml:space="preserve"> to fully benefit from potential financial and technical support under the PA and also input meaningfully into the global stocktake </w:t>
            </w:r>
            <w:r w:rsidR="00747682" w:rsidRPr="003C2AE4">
              <w:rPr>
                <w:rFonts w:ascii="Calibri" w:eastAsia="Calibri" w:hAnsi="Calibri" w:cs="Calibri"/>
                <w:sz w:val="22"/>
                <w:szCs w:val="22"/>
              </w:rPr>
              <w:t xml:space="preserve">Parties </w:t>
            </w:r>
            <w:r>
              <w:rPr>
                <w:rFonts w:ascii="Calibri" w:eastAsia="Calibri" w:hAnsi="Calibri" w:cs="Calibri"/>
                <w:sz w:val="22"/>
                <w:szCs w:val="22"/>
              </w:rPr>
              <w:t xml:space="preserve">could </w:t>
            </w:r>
            <w:r w:rsidR="00747682" w:rsidRPr="003C2AE4">
              <w:rPr>
                <w:rFonts w:ascii="Calibri" w:eastAsia="Calibri" w:hAnsi="Calibri" w:cs="Calibri"/>
                <w:sz w:val="22"/>
                <w:szCs w:val="22"/>
              </w:rPr>
              <w:t>prepare a communication that best highlights their adaptation, priorities, needs and plans in one accessible package, based on the guidance in decision 9/CMA.1.</w:t>
            </w:r>
          </w:p>
          <w:p w14:paraId="5B28FEBE" w14:textId="77777777" w:rsidR="003C2AE4" w:rsidRDefault="003C2AE4" w:rsidP="008B4635">
            <w:pPr>
              <w:widowControl w:val="0"/>
              <w:rPr>
                <w:rFonts w:ascii="Calibri" w:eastAsia="Calibri" w:hAnsi="Calibri" w:cs="Calibri"/>
                <w:sz w:val="22"/>
                <w:szCs w:val="22"/>
              </w:rPr>
            </w:pPr>
          </w:p>
          <w:p w14:paraId="045646A3" w14:textId="7F3A9EFC" w:rsidR="008B4635" w:rsidRPr="003C2AE4" w:rsidRDefault="008B4635" w:rsidP="008B4635">
            <w:pPr>
              <w:widowControl w:val="0"/>
              <w:rPr>
                <w:rFonts w:ascii="Calibri" w:eastAsia="Calibri" w:hAnsi="Calibri" w:cs="Calibri"/>
                <w:sz w:val="22"/>
                <w:szCs w:val="22"/>
              </w:rPr>
            </w:pPr>
            <w:r w:rsidRPr="003C2AE4">
              <w:rPr>
                <w:rFonts w:ascii="Calibri" w:eastAsia="Calibri" w:hAnsi="Calibri" w:cs="Calibri"/>
                <w:sz w:val="22"/>
                <w:szCs w:val="22"/>
              </w:rPr>
              <w:t xml:space="preserve">Supplementary guidance </w:t>
            </w:r>
            <w:r w:rsidR="00982859" w:rsidRPr="003C2AE4">
              <w:rPr>
                <w:rFonts w:ascii="Calibri" w:eastAsia="Calibri" w:hAnsi="Calibri" w:cs="Calibri"/>
                <w:sz w:val="22"/>
                <w:szCs w:val="22"/>
              </w:rPr>
              <w:t xml:space="preserve">for the preparation of adaptation communications is </w:t>
            </w:r>
            <w:r w:rsidRPr="003C2AE4">
              <w:rPr>
                <w:rFonts w:ascii="Calibri" w:eastAsia="Calibri" w:hAnsi="Calibri" w:cs="Calibri"/>
                <w:sz w:val="22"/>
                <w:szCs w:val="22"/>
              </w:rPr>
              <w:t xml:space="preserve">to be made available </w:t>
            </w:r>
            <w:r w:rsidR="00747682" w:rsidRPr="003C2AE4">
              <w:rPr>
                <w:rFonts w:ascii="Calibri" w:eastAsia="Calibri" w:hAnsi="Calibri" w:cs="Calibri"/>
                <w:sz w:val="22"/>
                <w:szCs w:val="22"/>
              </w:rPr>
              <w:t xml:space="preserve">for consideration </w:t>
            </w:r>
            <w:r w:rsidR="00982859" w:rsidRPr="003C2AE4">
              <w:rPr>
                <w:rFonts w:ascii="Calibri" w:eastAsia="Calibri" w:hAnsi="Calibri" w:cs="Calibri"/>
                <w:sz w:val="22"/>
                <w:szCs w:val="22"/>
              </w:rPr>
              <w:t xml:space="preserve">by Parties </w:t>
            </w:r>
            <w:r w:rsidR="00747682" w:rsidRPr="003C2AE4">
              <w:rPr>
                <w:rFonts w:ascii="Calibri" w:eastAsia="Calibri" w:hAnsi="Calibri" w:cs="Calibri"/>
                <w:sz w:val="22"/>
                <w:szCs w:val="22"/>
              </w:rPr>
              <w:t xml:space="preserve">in </w:t>
            </w:r>
            <w:r w:rsidRPr="003C2AE4">
              <w:rPr>
                <w:rFonts w:ascii="Calibri" w:eastAsia="Calibri" w:hAnsi="Calibri" w:cs="Calibri"/>
                <w:sz w:val="22"/>
                <w:szCs w:val="22"/>
              </w:rPr>
              <w:t>2022</w:t>
            </w:r>
          </w:p>
          <w:p w14:paraId="64BC26C1" w14:textId="77777777" w:rsidR="009201AE" w:rsidRDefault="009201AE" w:rsidP="008B4635">
            <w:pPr>
              <w:widowControl w:val="0"/>
              <w:rPr>
                <w:rFonts w:ascii="Calibri" w:eastAsia="Calibri" w:hAnsi="Calibri" w:cs="Calibri"/>
                <w:sz w:val="22"/>
                <w:szCs w:val="22"/>
              </w:rPr>
            </w:pPr>
          </w:p>
          <w:p w14:paraId="2639C0D8" w14:textId="40A71422" w:rsidR="008A50B8" w:rsidRPr="008278F8" w:rsidRDefault="008B4635" w:rsidP="008B4635">
            <w:pPr>
              <w:widowControl w:val="0"/>
              <w:rPr>
                <w:rFonts w:ascii="Calibri" w:eastAsia="Calibri" w:hAnsi="Calibri" w:cs="Calibri"/>
                <w:sz w:val="22"/>
                <w:szCs w:val="22"/>
              </w:rPr>
            </w:pPr>
            <w:r w:rsidRPr="003C2AE4">
              <w:rPr>
                <w:rFonts w:ascii="Calibri" w:eastAsia="Calibri" w:hAnsi="Calibri" w:cs="Calibri"/>
                <w:sz w:val="22"/>
                <w:szCs w:val="22"/>
              </w:rPr>
              <w:t xml:space="preserve">Parties </w:t>
            </w:r>
            <w:r w:rsidR="008278F8" w:rsidRPr="003C2AE4">
              <w:rPr>
                <w:rFonts w:ascii="Calibri" w:eastAsia="Calibri" w:hAnsi="Calibri" w:cs="Calibri"/>
                <w:sz w:val="22"/>
                <w:szCs w:val="22"/>
              </w:rPr>
              <w:t xml:space="preserve">are </w:t>
            </w:r>
            <w:r w:rsidRPr="003C2AE4">
              <w:rPr>
                <w:rFonts w:ascii="Calibri" w:eastAsia="Calibri" w:hAnsi="Calibri" w:cs="Calibri"/>
                <w:sz w:val="22"/>
                <w:szCs w:val="22"/>
              </w:rPr>
              <w:t xml:space="preserve">to take stock of </w:t>
            </w:r>
            <w:r w:rsidR="008278F8" w:rsidRPr="003C2AE4">
              <w:rPr>
                <w:rFonts w:ascii="Calibri" w:eastAsia="Calibri" w:hAnsi="Calibri" w:cs="Calibri"/>
                <w:sz w:val="22"/>
                <w:szCs w:val="22"/>
              </w:rPr>
              <w:t xml:space="preserve">the </w:t>
            </w:r>
            <w:r w:rsidRPr="003C2AE4">
              <w:rPr>
                <w:rFonts w:ascii="Calibri" w:eastAsia="Calibri" w:hAnsi="Calibri" w:cs="Calibri"/>
                <w:sz w:val="22"/>
                <w:szCs w:val="22"/>
              </w:rPr>
              <w:t>guidance in 2025</w:t>
            </w:r>
            <w:r w:rsidR="003C2AE4">
              <w:rPr>
                <w:rFonts w:ascii="Calibri" w:eastAsia="Calibri" w:hAnsi="Calibri" w:cs="Calibri"/>
                <w:sz w:val="22"/>
                <w:szCs w:val="22"/>
              </w:rPr>
              <w:t>.</w:t>
            </w:r>
          </w:p>
        </w:tc>
      </w:tr>
      <w:tr w:rsidR="000D2873" w14:paraId="3418ECAC" w14:textId="77777777" w:rsidTr="00B4577B">
        <w:trPr>
          <w:trHeight w:val="20"/>
        </w:trPr>
        <w:tc>
          <w:tcPr>
            <w:tcW w:w="2694" w:type="dxa"/>
          </w:tcPr>
          <w:p w14:paraId="17002116" w14:textId="06F21419" w:rsidR="000D2873" w:rsidRPr="00BA3FDE" w:rsidRDefault="000D2873">
            <w:pPr>
              <w:widowControl w:val="0"/>
              <w:rPr>
                <w:rFonts w:ascii="Calibri" w:eastAsia="Calibri" w:hAnsi="Calibri" w:cs="Calibri"/>
                <w:sz w:val="22"/>
                <w:szCs w:val="22"/>
              </w:rPr>
            </w:pPr>
            <w:r w:rsidRPr="00BA3FDE">
              <w:rPr>
                <w:rFonts w:ascii="Calibri" w:eastAsia="Calibri" w:hAnsi="Calibri" w:cs="Calibri"/>
                <w:sz w:val="22"/>
                <w:szCs w:val="22"/>
              </w:rPr>
              <w:t xml:space="preserve">The adaptation communication shall be recorded in a </w:t>
            </w:r>
            <w:r w:rsidR="008278F8">
              <w:rPr>
                <w:rFonts w:ascii="Calibri" w:eastAsia="Calibri" w:hAnsi="Calibri" w:cs="Calibri"/>
                <w:sz w:val="22"/>
                <w:szCs w:val="22"/>
              </w:rPr>
              <w:t xml:space="preserve">public </w:t>
            </w:r>
            <w:r w:rsidRPr="00BA3FDE">
              <w:rPr>
                <w:rFonts w:ascii="Calibri" w:eastAsia="Calibri" w:hAnsi="Calibri" w:cs="Calibri"/>
                <w:sz w:val="22"/>
                <w:szCs w:val="22"/>
              </w:rPr>
              <w:t>registry (</w:t>
            </w:r>
            <w:r w:rsidR="008278F8">
              <w:rPr>
                <w:rFonts w:ascii="Calibri" w:eastAsia="Calibri" w:hAnsi="Calibri" w:cs="Calibri"/>
                <w:sz w:val="22"/>
                <w:szCs w:val="22"/>
              </w:rPr>
              <w:t xml:space="preserve">PA </w:t>
            </w:r>
            <w:r w:rsidR="009201AE">
              <w:rPr>
                <w:rFonts w:ascii="Calibri" w:eastAsia="Calibri" w:hAnsi="Calibri" w:cs="Calibri"/>
                <w:sz w:val="22"/>
                <w:szCs w:val="22"/>
              </w:rPr>
              <w:t xml:space="preserve">Art. </w:t>
            </w:r>
            <w:r w:rsidRPr="00BA3FDE">
              <w:rPr>
                <w:rFonts w:ascii="Calibri" w:eastAsia="Calibri" w:hAnsi="Calibri" w:cs="Calibri"/>
                <w:sz w:val="22"/>
                <w:szCs w:val="22"/>
              </w:rPr>
              <w:t>7.</w:t>
            </w:r>
            <w:r w:rsidR="008278F8" w:rsidRPr="00BA3FDE">
              <w:rPr>
                <w:rFonts w:ascii="Calibri" w:eastAsia="Calibri" w:hAnsi="Calibri" w:cs="Calibri"/>
                <w:sz w:val="22"/>
                <w:szCs w:val="22"/>
              </w:rPr>
              <w:t>1</w:t>
            </w:r>
            <w:r w:rsidR="008278F8">
              <w:rPr>
                <w:rFonts w:ascii="Calibri" w:eastAsia="Calibri" w:hAnsi="Calibri" w:cs="Calibri"/>
                <w:sz w:val="22"/>
                <w:szCs w:val="22"/>
              </w:rPr>
              <w:t>2</w:t>
            </w:r>
            <w:r w:rsidRPr="00BA3FDE">
              <w:rPr>
                <w:rFonts w:ascii="Calibri" w:eastAsia="Calibri" w:hAnsi="Calibri" w:cs="Calibri"/>
                <w:sz w:val="22"/>
                <w:szCs w:val="22"/>
              </w:rPr>
              <w:t>)</w:t>
            </w:r>
          </w:p>
        </w:tc>
        <w:tc>
          <w:tcPr>
            <w:tcW w:w="3685" w:type="dxa"/>
            <w:tcMar>
              <w:left w:w="108" w:type="dxa"/>
              <w:right w:w="108" w:type="dxa"/>
            </w:tcMar>
          </w:tcPr>
          <w:p w14:paraId="7B02036F" w14:textId="1030BC4A" w:rsidR="000D2873" w:rsidRPr="00BA3FDE" w:rsidRDefault="000D2873">
            <w:pPr>
              <w:widowControl w:val="0"/>
              <w:rPr>
                <w:rFonts w:ascii="Calibri" w:eastAsia="Calibri" w:hAnsi="Calibri" w:cs="Calibri"/>
                <w:sz w:val="22"/>
                <w:szCs w:val="22"/>
              </w:rPr>
            </w:pPr>
            <w:r w:rsidRPr="00BA3FDE">
              <w:rPr>
                <w:rFonts w:ascii="Calibri" w:eastAsia="Calibri" w:hAnsi="Calibri" w:cs="Calibri"/>
                <w:sz w:val="22"/>
                <w:szCs w:val="22"/>
              </w:rPr>
              <w:t xml:space="preserve">Modalities and procedures for the operation and use of the public registry to house adaptation communications </w:t>
            </w:r>
            <w:r w:rsidR="003C2AE4">
              <w:rPr>
                <w:rFonts w:ascii="Calibri" w:eastAsia="Calibri" w:hAnsi="Calibri" w:cs="Calibri"/>
                <w:sz w:val="22"/>
                <w:szCs w:val="22"/>
              </w:rPr>
              <w:t xml:space="preserve">to be adopted </w:t>
            </w:r>
            <w:r w:rsidRPr="00BA3FDE">
              <w:rPr>
                <w:rFonts w:ascii="Calibri" w:eastAsia="Calibri" w:hAnsi="Calibri" w:cs="Calibri"/>
                <w:sz w:val="22"/>
                <w:szCs w:val="22"/>
              </w:rPr>
              <w:t>at CMA1</w:t>
            </w:r>
            <w:r w:rsidR="009D4F0B">
              <w:rPr>
                <w:rFonts w:ascii="Calibri" w:eastAsia="Calibri" w:hAnsi="Calibri" w:cs="Calibri"/>
                <w:sz w:val="22"/>
                <w:szCs w:val="22"/>
              </w:rPr>
              <w:t xml:space="preserve"> (Katowice, 2018)</w:t>
            </w:r>
          </w:p>
        </w:tc>
        <w:tc>
          <w:tcPr>
            <w:tcW w:w="3686" w:type="dxa"/>
            <w:shd w:val="clear" w:color="auto" w:fill="auto"/>
            <w:tcMar>
              <w:left w:w="108" w:type="dxa"/>
              <w:right w:w="108" w:type="dxa"/>
            </w:tcMar>
          </w:tcPr>
          <w:p w14:paraId="174AAD3E" w14:textId="43041F47" w:rsidR="000D2873" w:rsidRPr="00BA3FDE" w:rsidRDefault="000D2873">
            <w:pPr>
              <w:widowControl w:val="0"/>
              <w:rPr>
                <w:rFonts w:ascii="Calibri" w:eastAsia="Calibri" w:hAnsi="Calibri" w:cs="Calibri"/>
                <w:sz w:val="22"/>
                <w:szCs w:val="22"/>
              </w:rPr>
            </w:pPr>
            <w:r w:rsidRPr="00BA3FDE">
              <w:rPr>
                <w:rFonts w:ascii="Calibri" w:eastAsia="Calibri" w:hAnsi="Calibri" w:cs="Calibri"/>
                <w:sz w:val="22"/>
                <w:szCs w:val="22"/>
              </w:rPr>
              <w:t>Modalities agreed: There will be one registry with 2 parts</w:t>
            </w:r>
            <w:r w:rsidR="008278F8">
              <w:rPr>
                <w:rFonts w:ascii="Calibri" w:eastAsia="Calibri" w:hAnsi="Calibri" w:cs="Calibri"/>
                <w:sz w:val="22"/>
                <w:szCs w:val="22"/>
              </w:rPr>
              <w:t>, one</w:t>
            </w:r>
            <w:r w:rsidRPr="00BA3FDE">
              <w:rPr>
                <w:rFonts w:ascii="Calibri" w:eastAsia="Calibri" w:hAnsi="Calibri" w:cs="Calibri"/>
                <w:sz w:val="22"/>
                <w:szCs w:val="22"/>
              </w:rPr>
              <w:t xml:space="preserve"> for NDCs </w:t>
            </w:r>
            <w:r w:rsidR="008278F8">
              <w:rPr>
                <w:rFonts w:ascii="Calibri" w:eastAsia="Calibri" w:hAnsi="Calibri" w:cs="Calibri"/>
                <w:sz w:val="22"/>
                <w:szCs w:val="22"/>
              </w:rPr>
              <w:t xml:space="preserve">(see above) </w:t>
            </w:r>
            <w:r w:rsidRPr="00BA3FDE">
              <w:rPr>
                <w:rFonts w:ascii="Calibri" w:eastAsia="Calibri" w:hAnsi="Calibri" w:cs="Calibri"/>
                <w:sz w:val="22"/>
                <w:szCs w:val="22"/>
              </w:rPr>
              <w:t xml:space="preserve">and </w:t>
            </w:r>
            <w:r w:rsidR="008278F8">
              <w:rPr>
                <w:rFonts w:ascii="Calibri" w:eastAsia="Calibri" w:hAnsi="Calibri" w:cs="Calibri"/>
                <w:sz w:val="22"/>
                <w:szCs w:val="22"/>
              </w:rPr>
              <w:t xml:space="preserve">one for </w:t>
            </w:r>
            <w:r w:rsidRPr="00BA3FDE">
              <w:rPr>
                <w:rFonts w:ascii="Calibri" w:eastAsia="Calibri" w:hAnsi="Calibri" w:cs="Calibri"/>
                <w:sz w:val="22"/>
                <w:szCs w:val="22"/>
              </w:rPr>
              <w:t>adaptation communications</w:t>
            </w:r>
            <w:r w:rsidR="008278F8">
              <w:rPr>
                <w:rFonts w:ascii="Calibri" w:eastAsia="Calibri" w:hAnsi="Calibri" w:cs="Calibri"/>
                <w:sz w:val="22"/>
                <w:szCs w:val="22"/>
              </w:rPr>
              <w:t>. The final form of the registry to be agreed at CMA2 (December 2019)</w:t>
            </w:r>
            <w:r w:rsidRPr="00BA3FDE">
              <w:rPr>
                <w:rFonts w:ascii="Calibri" w:eastAsia="Calibri" w:hAnsi="Calibri" w:cs="Calibri"/>
                <w:sz w:val="22"/>
                <w:szCs w:val="22"/>
              </w:rPr>
              <w:t xml:space="preserve"> (10/CMA.1</w:t>
            </w:r>
            <w:r w:rsidR="008278F8">
              <w:rPr>
                <w:rFonts w:ascii="Calibri" w:eastAsia="Calibri" w:hAnsi="Calibri" w:cs="Calibri"/>
                <w:sz w:val="22"/>
                <w:szCs w:val="22"/>
              </w:rPr>
              <w:t xml:space="preserve"> and </w:t>
            </w:r>
            <w:r w:rsidR="008278F8">
              <w:rPr>
                <w:rFonts w:ascii="Calibri" w:eastAsia="Calibri" w:hAnsi="Calibri" w:cs="Calibri"/>
                <w:sz w:val="22"/>
                <w:szCs w:val="22"/>
              </w:rPr>
              <w:lastRenderedPageBreak/>
              <w:t>Annex</w:t>
            </w:r>
            <w:r w:rsidRPr="00BA3FDE">
              <w:rPr>
                <w:rFonts w:ascii="Calibri" w:eastAsia="Calibri" w:hAnsi="Calibri" w:cs="Calibri"/>
                <w:sz w:val="22"/>
                <w:szCs w:val="22"/>
              </w:rPr>
              <w:t>)</w:t>
            </w:r>
          </w:p>
        </w:tc>
        <w:tc>
          <w:tcPr>
            <w:tcW w:w="3875" w:type="dxa"/>
            <w:tcMar>
              <w:left w:w="108" w:type="dxa"/>
              <w:right w:w="108" w:type="dxa"/>
            </w:tcMar>
          </w:tcPr>
          <w:p w14:paraId="26E4D700" w14:textId="228690FE" w:rsidR="000D2873" w:rsidRPr="00BA3FDE" w:rsidRDefault="00F17CD1" w:rsidP="00F17CD1">
            <w:pPr>
              <w:widowControl w:val="0"/>
              <w:rPr>
                <w:rFonts w:ascii="Calibri" w:eastAsia="Calibri" w:hAnsi="Calibri" w:cs="Calibri"/>
                <w:sz w:val="22"/>
                <w:szCs w:val="22"/>
              </w:rPr>
            </w:pPr>
            <w:r>
              <w:rPr>
                <w:rFonts w:ascii="Calibri" w:eastAsia="Calibri" w:hAnsi="Calibri" w:cs="Calibri"/>
                <w:sz w:val="22"/>
                <w:szCs w:val="22"/>
              </w:rPr>
              <w:lastRenderedPageBreak/>
              <w:t>Web-based process to log a</w:t>
            </w:r>
            <w:r w:rsidRPr="00F17CD1">
              <w:rPr>
                <w:rFonts w:ascii="Calibri" w:eastAsia="Calibri" w:hAnsi="Calibri" w:cs="Calibri"/>
                <w:sz w:val="22"/>
                <w:szCs w:val="22"/>
              </w:rPr>
              <w:t>daptation communications in public registry</w:t>
            </w:r>
          </w:p>
        </w:tc>
      </w:tr>
      <w:tr w:rsidR="000D2873" w14:paraId="5F3C3210" w14:textId="77777777">
        <w:trPr>
          <w:trHeight w:val="20"/>
        </w:trPr>
        <w:tc>
          <w:tcPr>
            <w:tcW w:w="2694" w:type="dxa"/>
            <w:vMerge w:val="restart"/>
          </w:tcPr>
          <w:p w14:paraId="1CC43CA6" w14:textId="77777777" w:rsidR="000D2873" w:rsidRPr="00BA3FDE" w:rsidRDefault="000D2873">
            <w:pPr>
              <w:widowControl w:val="0"/>
              <w:pBdr>
                <w:top w:val="nil"/>
                <w:left w:val="nil"/>
                <w:bottom w:val="nil"/>
                <w:right w:val="nil"/>
                <w:between w:val="nil"/>
              </w:pBdr>
              <w:spacing w:line="276" w:lineRule="auto"/>
              <w:rPr>
                <w:rFonts w:ascii="Calibri" w:eastAsia="Calibri" w:hAnsi="Calibri" w:cs="Calibri"/>
                <w:sz w:val="22"/>
                <w:szCs w:val="22"/>
              </w:rPr>
            </w:pPr>
          </w:p>
        </w:tc>
        <w:tc>
          <w:tcPr>
            <w:tcW w:w="3685" w:type="dxa"/>
            <w:tcMar>
              <w:left w:w="108" w:type="dxa"/>
              <w:right w:w="108" w:type="dxa"/>
            </w:tcMar>
          </w:tcPr>
          <w:p w14:paraId="2F577450" w14:textId="3973B703" w:rsidR="000D2873" w:rsidRPr="00BA3FDE" w:rsidRDefault="000D2873">
            <w:pPr>
              <w:widowControl w:val="0"/>
              <w:rPr>
                <w:rFonts w:ascii="Calibri" w:eastAsia="Calibri" w:hAnsi="Calibri" w:cs="Calibri"/>
                <w:sz w:val="22"/>
                <w:szCs w:val="22"/>
              </w:rPr>
            </w:pPr>
            <w:bookmarkStart w:id="1" w:name="_gjdgxs" w:colFirst="0" w:colLast="0"/>
            <w:bookmarkEnd w:id="1"/>
            <w:r w:rsidRPr="00BA3FDE">
              <w:rPr>
                <w:rFonts w:ascii="Calibri" w:eastAsia="Calibri" w:hAnsi="Calibri" w:cs="Calibri"/>
                <w:sz w:val="22"/>
                <w:szCs w:val="22"/>
              </w:rPr>
              <w:t>Review the work of adaptation-related institutional arrangements and enhancing the coherence of their work (1/CP.21 para.42.a) at CMA1</w:t>
            </w:r>
            <w:r w:rsidR="009D4F0B">
              <w:rPr>
                <w:rFonts w:ascii="Calibri" w:eastAsia="Calibri" w:hAnsi="Calibri" w:cs="Calibri"/>
                <w:sz w:val="22"/>
                <w:szCs w:val="22"/>
              </w:rPr>
              <w:t xml:space="preserve"> (Katowice, 2018)</w:t>
            </w:r>
          </w:p>
        </w:tc>
        <w:tc>
          <w:tcPr>
            <w:tcW w:w="3686" w:type="dxa"/>
            <w:tcMar>
              <w:left w:w="108" w:type="dxa"/>
              <w:right w:w="108" w:type="dxa"/>
            </w:tcMar>
          </w:tcPr>
          <w:p w14:paraId="4915E9E4" w14:textId="38B42006" w:rsidR="000D2873" w:rsidRPr="00BA3FDE" w:rsidRDefault="000D2873" w:rsidP="00B4390A">
            <w:pPr>
              <w:widowControl w:val="0"/>
              <w:rPr>
                <w:rFonts w:ascii="Calibri" w:eastAsia="Calibri" w:hAnsi="Calibri" w:cs="Calibri"/>
                <w:sz w:val="22"/>
                <w:szCs w:val="22"/>
              </w:rPr>
            </w:pPr>
            <w:r w:rsidRPr="00BA3FDE">
              <w:rPr>
                <w:rFonts w:ascii="Calibri" w:eastAsia="Calibri" w:hAnsi="Calibri" w:cs="Calibri"/>
                <w:sz w:val="22"/>
                <w:szCs w:val="22"/>
              </w:rPr>
              <w:t>Decision was taken, e.g. Adaptation Committee and LDC Expert Group to serve PA (11/CMA.1 para.1)</w:t>
            </w:r>
          </w:p>
        </w:tc>
        <w:tc>
          <w:tcPr>
            <w:tcW w:w="3875" w:type="dxa"/>
            <w:tcMar>
              <w:left w:w="108" w:type="dxa"/>
              <w:right w:w="108" w:type="dxa"/>
            </w:tcMar>
          </w:tcPr>
          <w:p w14:paraId="68BABEF2" w14:textId="78442888" w:rsidR="000D2873" w:rsidRPr="00BA3FDE" w:rsidRDefault="00746DC6" w:rsidP="000D2873">
            <w:pPr>
              <w:widowControl w:val="0"/>
              <w:rPr>
                <w:rFonts w:ascii="Calibri" w:eastAsia="Calibri" w:hAnsi="Calibri" w:cs="Calibri"/>
                <w:sz w:val="22"/>
                <w:szCs w:val="22"/>
              </w:rPr>
            </w:pPr>
            <w:r>
              <w:rPr>
                <w:rFonts w:ascii="Calibri" w:eastAsia="Calibri" w:hAnsi="Calibri" w:cs="Calibri"/>
                <w:sz w:val="22"/>
                <w:szCs w:val="22"/>
              </w:rPr>
              <w:t xml:space="preserve">International </w:t>
            </w:r>
            <w:r w:rsidR="00527D6E">
              <w:rPr>
                <w:rFonts w:ascii="Calibri" w:eastAsia="Calibri" w:hAnsi="Calibri" w:cs="Calibri"/>
                <w:sz w:val="22"/>
                <w:szCs w:val="22"/>
              </w:rPr>
              <w:t>infra</w:t>
            </w:r>
            <w:r w:rsidR="008A50B8">
              <w:rPr>
                <w:rFonts w:ascii="Calibri" w:eastAsia="Calibri" w:hAnsi="Calibri" w:cs="Calibri"/>
                <w:sz w:val="22"/>
                <w:szCs w:val="22"/>
              </w:rPr>
              <w:t>structure</w:t>
            </w:r>
          </w:p>
        </w:tc>
      </w:tr>
      <w:tr w:rsidR="000D2873" w14:paraId="04C4B5D1" w14:textId="77777777">
        <w:trPr>
          <w:trHeight w:val="20"/>
        </w:trPr>
        <w:tc>
          <w:tcPr>
            <w:tcW w:w="2694" w:type="dxa"/>
            <w:vMerge/>
          </w:tcPr>
          <w:p w14:paraId="23597C16" w14:textId="77777777" w:rsidR="000D2873" w:rsidRDefault="000D2873">
            <w:pPr>
              <w:widowControl w:val="0"/>
              <w:pBdr>
                <w:top w:val="nil"/>
                <w:left w:val="nil"/>
                <w:bottom w:val="nil"/>
                <w:right w:val="nil"/>
                <w:between w:val="nil"/>
              </w:pBdr>
              <w:spacing w:line="276" w:lineRule="auto"/>
              <w:rPr>
                <w:rFonts w:ascii="Calibri" w:eastAsia="Calibri" w:hAnsi="Calibri" w:cs="Calibri"/>
              </w:rPr>
            </w:pPr>
          </w:p>
        </w:tc>
        <w:tc>
          <w:tcPr>
            <w:tcW w:w="3685" w:type="dxa"/>
            <w:tcMar>
              <w:left w:w="108" w:type="dxa"/>
              <w:right w:w="108" w:type="dxa"/>
            </w:tcMar>
          </w:tcPr>
          <w:p w14:paraId="3AFA1D87" w14:textId="4CC924A0" w:rsidR="000D2873" w:rsidRPr="00BA3FDE" w:rsidRDefault="000D2873">
            <w:pPr>
              <w:widowControl w:val="0"/>
              <w:rPr>
                <w:rFonts w:ascii="Calibri" w:eastAsia="Calibri" w:hAnsi="Calibri" w:cs="Calibri"/>
                <w:sz w:val="22"/>
                <w:szCs w:val="22"/>
              </w:rPr>
            </w:pPr>
            <w:r w:rsidRPr="00BA3FDE">
              <w:rPr>
                <w:rFonts w:ascii="Calibri" w:eastAsia="Calibri" w:hAnsi="Calibri" w:cs="Calibri"/>
                <w:sz w:val="22"/>
                <w:szCs w:val="22"/>
              </w:rPr>
              <w:t>Consider and make recommendations on methodologies for assessing adaptation needs (</w:t>
            </w:r>
            <w:r w:rsidR="008278F8">
              <w:rPr>
                <w:rFonts w:ascii="Calibri" w:eastAsia="Calibri" w:hAnsi="Calibri" w:cs="Calibri"/>
                <w:sz w:val="22"/>
                <w:szCs w:val="22"/>
              </w:rPr>
              <w:t xml:space="preserve">1/CP.21 </w:t>
            </w:r>
            <w:r w:rsidRPr="00BA3FDE">
              <w:rPr>
                <w:rFonts w:ascii="Calibri" w:eastAsia="Calibri" w:hAnsi="Calibri" w:cs="Calibri"/>
                <w:sz w:val="22"/>
                <w:szCs w:val="22"/>
              </w:rPr>
              <w:t>para.42.b)</w:t>
            </w:r>
          </w:p>
        </w:tc>
        <w:tc>
          <w:tcPr>
            <w:tcW w:w="3686" w:type="dxa"/>
            <w:tcMar>
              <w:left w:w="108" w:type="dxa"/>
              <w:right w:w="108" w:type="dxa"/>
            </w:tcMar>
          </w:tcPr>
          <w:p w14:paraId="284B8D1A" w14:textId="0A71F5B5" w:rsidR="000D2873" w:rsidRPr="00BA3FDE" w:rsidRDefault="000D2873">
            <w:pPr>
              <w:widowControl w:val="0"/>
              <w:rPr>
                <w:rFonts w:ascii="Calibri" w:eastAsia="Calibri" w:hAnsi="Calibri" w:cs="Calibri"/>
                <w:sz w:val="22"/>
                <w:szCs w:val="22"/>
              </w:rPr>
            </w:pPr>
            <w:r w:rsidRPr="00BA3FDE">
              <w:rPr>
                <w:rFonts w:ascii="Calibri" w:eastAsia="Calibri" w:hAnsi="Calibri" w:cs="Calibri"/>
                <w:sz w:val="22"/>
                <w:szCs w:val="22"/>
              </w:rPr>
              <w:t>Agreement reached on broad outline of further activities to develop, record and apply methodologies (11</w:t>
            </w:r>
            <w:r w:rsidR="002D515B" w:rsidRPr="00BA3FDE">
              <w:rPr>
                <w:rFonts w:ascii="Calibri" w:eastAsia="Calibri" w:hAnsi="Calibri" w:cs="Calibri"/>
                <w:sz w:val="22"/>
                <w:szCs w:val="22"/>
              </w:rPr>
              <w:t>/CMA.1 paras 15</w:t>
            </w:r>
            <w:r w:rsidRPr="00BA3FDE">
              <w:rPr>
                <w:rFonts w:ascii="Calibri" w:eastAsia="Calibri" w:hAnsi="Calibri" w:cs="Calibri"/>
                <w:sz w:val="22"/>
                <w:szCs w:val="22"/>
              </w:rPr>
              <w:t>-20)</w:t>
            </w:r>
          </w:p>
        </w:tc>
        <w:tc>
          <w:tcPr>
            <w:tcW w:w="3875" w:type="dxa"/>
            <w:tcMar>
              <w:left w:w="108" w:type="dxa"/>
              <w:right w:w="108" w:type="dxa"/>
            </w:tcMar>
          </w:tcPr>
          <w:p w14:paraId="7570D5BD" w14:textId="272D3DD6" w:rsidR="008B4635" w:rsidRPr="00BA3FDE" w:rsidRDefault="003C5BDA" w:rsidP="003C5BDA">
            <w:pPr>
              <w:widowControl w:val="0"/>
              <w:rPr>
                <w:rFonts w:ascii="Calibri" w:eastAsia="Calibri" w:hAnsi="Calibri" w:cs="Calibri"/>
                <w:sz w:val="22"/>
                <w:szCs w:val="22"/>
              </w:rPr>
            </w:pPr>
            <w:r>
              <w:rPr>
                <w:rFonts w:ascii="Calibri" w:eastAsia="Calibri" w:hAnsi="Calibri" w:cs="Calibri"/>
                <w:sz w:val="22"/>
                <w:szCs w:val="22"/>
              </w:rPr>
              <w:t>Parties may submit</w:t>
            </w:r>
            <w:r w:rsidR="00A77CE5" w:rsidRPr="00A77CE5">
              <w:rPr>
                <w:rFonts w:ascii="Calibri" w:eastAsia="Calibri" w:hAnsi="Calibri" w:cs="Calibri"/>
                <w:sz w:val="22"/>
                <w:szCs w:val="22"/>
              </w:rPr>
              <w:t xml:space="preserve"> views and information on the development and application of methodologies for assessing adaptation needs, including needs related to action, finance, capacity-building and technological support</w:t>
            </w:r>
            <w:r w:rsidR="008B4635" w:rsidRPr="003C5BDA">
              <w:rPr>
                <w:rFonts w:ascii="Calibri" w:eastAsia="Calibri" w:hAnsi="Calibri" w:cs="Calibri"/>
                <w:sz w:val="22"/>
                <w:szCs w:val="22"/>
              </w:rPr>
              <w:t xml:space="preserve"> by February 2021 to feed into </w:t>
            </w:r>
            <w:r w:rsidR="00A77CE5">
              <w:rPr>
                <w:rFonts w:ascii="Calibri" w:eastAsia="Calibri" w:hAnsi="Calibri" w:cs="Calibri"/>
                <w:sz w:val="22"/>
                <w:szCs w:val="22"/>
              </w:rPr>
              <w:t xml:space="preserve">a </w:t>
            </w:r>
            <w:r w:rsidR="008B4635" w:rsidRPr="003C5BDA">
              <w:rPr>
                <w:rFonts w:ascii="Calibri" w:eastAsia="Calibri" w:hAnsi="Calibri" w:cs="Calibri"/>
                <w:sz w:val="22"/>
                <w:szCs w:val="22"/>
              </w:rPr>
              <w:t>technical paper</w:t>
            </w:r>
            <w:r>
              <w:rPr>
                <w:rFonts w:ascii="Calibri" w:eastAsia="Calibri" w:hAnsi="Calibri" w:cs="Calibri"/>
                <w:sz w:val="22"/>
                <w:szCs w:val="22"/>
              </w:rPr>
              <w:t xml:space="preserve"> </w:t>
            </w:r>
            <w:r w:rsidR="008B4635" w:rsidRPr="003C5BDA">
              <w:rPr>
                <w:rFonts w:ascii="Calibri" w:eastAsia="Calibri" w:hAnsi="Calibri" w:cs="Calibri"/>
                <w:sz w:val="22"/>
                <w:szCs w:val="22"/>
              </w:rPr>
              <w:t>for consideration and further guidance, available in 2022</w:t>
            </w:r>
          </w:p>
        </w:tc>
      </w:tr>
      <w:tr w:rsidR="000D2873" w14:paraId="79C67E9D" w14:textId="77777777">
        <w:trPr>
          <w:trHeight w:val="20"/>
        </w:trPr>
        <w:tc>
          <w:tcPr>
            <w:tcW w:w="2694" w:type="dxa"/>
          </w:tcPr>
          <w:p w14:paraId="097FB3AC" w14:textId="77777777" w:rsidR="000D2873" w:rsidRDefault="000D2873">
            <w:pPr>
              <w:widowControl w:val="0"/>
              <w:rPr>
                <w:rFonts w:ascii="Calibri" w:eastAsia="Calibri" w:hAnsi="Calibri" w:cs="Calibri"/>
              </w:rPr>
            </w:pPr>
          </w:p>
        </w:tc>
        <w:tc>
          <w:tcPr>
            <w:tcW w:w="3685" w:type="dxa"/>
            <w:tcMar>
              <w:left w:w="108" w:type="dxa"/>
              <w:right w:w="108" w:type="dxa"/>
            </w:tcMar>
          </w:tcPr>
          <w:p w14:paraId="031C8F6D" w14:textId="3CAA0DC0" w:rsidR="000D2873" w:rsidRPr="00BA3FDE" w:rsidRDefault="000D2873">
            <w:pPr>
              <w:widowControl w:val="0"/>
              <w:rPr>
                <w:rFonts w:ascii="Calibri" w:eastAsia="Calibri" w:hAnsi="Calibri" w:cs="Calibri"/>
                <w:sz w:val="22"/>
                <w:szCs w:val="22"/>
              </w:rPr>
            </w:pPr>
            <w:r w:rsidRPr="00BA3FDE">
              <w:rPr>
                <w:rFonts w:ascii="Calibri" w:eastAsia="Calibri" w:hAnsi="Calibri" w:cs="Calibri"/>
                <w:sz w:val="22"/>
                <w:szCs w:val="22"/>
              </w:rPr>
              <w:t>Methodologies to facilitate the mobilization of support for adaptation and reviewing the adequacy and effectiveness of adaptation and support for adaptation (</w:t>
            </w:r>
            <w:r w:rsidR="008278F8">
              <w:rPr>
                <w:rFonts w:ascii="Calibri" w:eastAsia="Calibri" w:hAnsi="Calibri" w:cs="Calibri"/>
                <w:sz w:val="22"/>
                <w:szCs w:val="22"/>
              </w:rPr>
              <w:t xml:space="preserve">1/CP.21 </w:t>
            </w:r>
            <w:r w:rsidRPr="00BA3FDE">
              <w:rPr>
                <w:rFonts w:ascii="Calibri" w:eastAsia="Calibri" w:hAnsi="Calibri" w:cs="Calibri"/>
                <w:sz w:val="22"/>
                <w:szCs w:val="22"/>
              </w:rPr>
              <w:t>para.45) at CMA1</w:t>
            </w:r>
            <w:r w:rsidR="009D4F0B">
              <w:rPr>
                <w:rFonts w:ascii="Calibri" w:eastAsia="Calibri" w:hAnsi="Calibri" w:cs="Calibri"/>
                <w:sz w:val="22"/>
                <w:szCs w:val="22"/>
              </w:rPr>
              <w:t xml:space="preserve"> </w:t>
            </w:r>
            <w:r w:rsidR="004A4E64">
              <w:rPr>
                <w:rFonts w:ascii="Calibri" w:eastAsia="Calibri" w:hAnsi="Calibri" w:cs="Calibri"/>
                <w:sz w:val="22"/>
                <w:szCs w:val="22"/>
              </w:rPr>
              <w:t>(Katowice, 2018)</w:t>
            </w:r>
          </w:p>
        </w:tc>
        <w:tc>
          <w:tcPr>
            <w:tcW w:w="3686" w:type="dxa"/>
            <w:tcMar>
              <w:left w:w="108" w:type="dxa"/>
              <w:right w:w="108" w:type="dxa"/>
            </w:tcMar>
          </w:tcPr>
          <w:p w14:paraId="79B6F613" w14:textId="50D8EA51" w:rsidR="000D2873" w:rsidRPr="00BA3FDE" w:rsidRDefault="000D2873">
            <w:pPr>
              <w:widowControl w:val="0"/>
              <w:rPr>
                <w:rFonts w:ascii="Calibri" w:eastAsia="Calibri" w:hAnsi="Calibri" w:cs="Calibri"/>
                <w:sz w:val="22"/>
                <w:szCs w:val="22"/>
              </w:rPr>
            </w:pPr>
            <w:r w:rsidRPr="00BA3FDE">
              <w:rPr>
                <w:rFonts w:ascii="Calibri" w:eastAsia="Calibri" w:hAnsi="Calibri" w:cs="Calibri"/>
                <w:sz w:val="22"/>
                <w:szCs w:val="22"/>
              </w:rPr>
              <w:t xml:space="preserve">Agreement reached on inviting and requesting </w:t>
            </w:r>
            <w:r w:rsidR="008278F8">
              <w:rPr>
                <w:rFonts w:ascii="Calibri" w:eastAsia="Calibri" w:hAnsi="Calibri" w:cs="Calibri"/>
                <w:sz w:val="22"/>
                <w:szCs w:val="22"/>
              </w:rPr>
              <w:t>P</w:t>
            </w:r>
            <w:r w:rsidR="008278F8" w:rsidRPr="00BA3FDE">
              <w:rPr>
                <w:rFonts w:ascii="Calibri" w:eastAsia="Calibri" w:hAnsi="Calibri" w:cs="Calibri"/>
                <w:sz w:val="22"/>
                <w:szCs w:val="22"/>
              </w:rPr>
              <w:t>arties</w:t>
            </w:r>
            <w:r w:rsidRPr="00BA3FDE">
              <w:rPr>
                <w:rFonts w:ascii="Calibri" w:eastAsia="Calibri" w:hAnsi="Calibri" w:cs="Calibri"/>
                <w:sz w:val="22"/>
                <w:szCs w:val="22"/>
              </w:rPr>
              <w:t>, institutions and other stakeholders to take relevant action (11/CMA.1, paras 21-30 and 34-36)</w:t>
            </w:r>
          </w:p>
        </w:tc>
        <w:tc>
          <w:tcPr>
            <w:tcW w:w="3875" w:type="dxa"/>
            <w:tcMar>
              <w:left w:w="108" w:type="dxa"/>
              <w:right w:w="108" w:type="dxa"/>
            </w:tcMar>
          </w:tcPr>
          <w:p w14:paraId="7B0B40EB" w14:textId="14DE5589" w:rsidR="000D2873" w:rsidRPr="00BA3FDE" w:rsidRDefault="00A77CE5" w:rsidP="003C5BDA">
            <w:pPr>
              <w:widowControl w:val="0"/>
              <w:rPr>
                <w:rFonts w:ascii="Calibri" w:eastAsia="Calibri" w:hAnsi="Calibri" w:cs="Calibri"/>
                <w:sz w:val="22"/>
                <w:szCs w:val="22"/>
              </w:rPr>
            </w:pPr>
            <w:r>
              <w:rPr>
                <w:rFonts w:ascii="Calibri" w:eastAsia="Calibri" w:hAnsi="Calibri" w:cs="Calibri"/>
                <w:sz w:val="22"/>
                <w:szCs w:val="22"/>
              </w:rPr>
              <w:t xml:space="preserve">Parties invited to </w:t>
            </w:r>
            <w:r w:rsidR="004E357B">
              <w:rPr>
                <w:rFonts w:ascii="Calibri" w:eastAsia="Calibri" w:hAnsi="Calibri" w:cs="Calibri"/>
                <w:sz w:val="22"/>
                <w:szCs w:val="22"/>
              </w:rPr>
              <w:t>undertake</w:t>
            </w:r>
            <w:r>
              <w:rPr>
                <w:rFonts w:ascii="Calibri" w:eastAsia="Calibri" w:hAnsi="Calibri" w:cs="Calibri"/>
                <w:sz w:val="22"/>
                <w:szCs w:val="22"/>
              </w:rPr>
              <w:t xml:space="preserve"> work on these methodologies based on </w:t>
            </w:r>
            <w:r w:rsidR="004E357B">
              <w:rPr>
                <w:rFonts w:ascii="Calibri" w:eastAsia="Calibri" w:hAnsi="Calibri" w:cs="Calibri"/>
                <w:sz w:val="22"/>
                <w:szCs w:val="22"/>
              </w:rPr>
              <w:t xml:space="preserve">existing work prepared by the Adaptation Committee (AC) and LDCs Expert Group (LEG) and to submit </w:t>
            </w:r>
            <w:r w:rsidR="004E357B" w:rsidRPr="004E357B">
              <w:rPr>
                <w:rFonts w:ascii="Calibri" w:eastAsia="Calibri" w:hAnsi="Calibri" w:cs="Calibri"/>
                <w:sz w:val="22"/>
                <w:szCs w:val="22"/>
              </w:rPr>
              <w:t xml:space="preserve">to the AC and the LEG information on </w:t>
            </w:r>
            <w:r w:rsidR="003C5BDA">
              <w:rPr>
                <w:rFonts w:ascii="Calibri" w:eastAsia="Calibri" w:hAnsi="Calibri" w:cs="Calibri"/>
                <w:sz w:val="22"/>
                <w:szCs w:val="22"/>
              </w:rPr>
              <w:t xml:space="preserve">relevant </w:t>
            </w:r>
            <w:r w:rsidR="004E357B" w:rsidRPr="004E357B">
              <w:rPr>
                <w:rFonts w:ascii="Calibri" w:eastAsia="Calibri" w:hAnsi="Calibri" w:cs="Calibri"/>
                <w:sz w:val="22"/>
                <w:szCs w:val="22"/>
              </w:rPr>
              <w:t>gaps,</w:t>
            </w:r>
            <w:r w:rsidR="004E357B">
              <w:rPr>
                <w:rFonts w:ascii="Calibri" w:eastAsia="Calibri" w:hAnsi="Calibri" w:cs="Calibri"/>
                <w:sz w:val="22"/>
                <w:szCs w:val="22"/>
              </w:rPr>
              <w:t xml:space="preserve"> </w:t>
            </w:r>
            <w:r w:rsidR="004E357B" w:rsidRPr="004E357B">
              <w:rPr>
                <w:rFonts w:ascii="Calibri" w:eastAsia="Calibri" w:hAnsi="Calibri" w:cs="Calibri"/>
                <w:sz w:val="22"/>
                <w:szCs w:val="22"/>
              </w:rPr>
              <w:t>challenges, opportunities and options</w:t>
            </w:r>
            <w:r w:rsidR="003C5BDA">
              <w:rPr>
                <w:rFonts w:ascii="Calibri" w:eastAsia="Calibri" w:hAnsi="Calibri" w:cs="Calibri"/>
                <w:sz w:val="22"/>
                <w:szCs w:val="22"/>
              </w:rPr>
              <w:t>.</w:t>
            </w:r>
          </w:p>
        </w:tc>
      </w:tr>
      <w:tr w:rsidR="000D2873" w14:paraId="0C7AB7F7" w14:textId="77777777">
        <w:trPr>
          <w:trHeight w:val="20"/>
        </w:trPr>
        <w:tc>
          <w:tcPr>
            <w:tcW w:w="13940" w:type="dxa"/>
            <w:gridSpan w:val="4"/>
            <w:shd w:val="clear" w:color="auto" w:fill="D9D9D9"/>
          </w:tcPr>
          <w:p w14:paraId="4EF447FE" w14:textId="77777777" w:rsidR="000D2873" w:rsidRPr="00BA3FDE" w:rsidRDefault="000D2873">
            <w:pPr>
              <w:widowControl w:val="0"/>
              <w:rPr>
                <w:rFonts w:ascii="Calibri" w:eastAsia="Calibri" w:hAnsi="Calibri" w:cs="Calibri"/>
                <w:sz w:val="22"/>
                <w:szCs w:val="22"/>
              </w:rPr>
            </w:pPr>
            <w:r w:rsidRPr="00BA3FDE">
              <w:rPr>
                <w:rFonts w:ascii="Calibri" w:eastAsia="Calibri" w:hAnsi="Calibri" w:cs="Calibri"/>
                <w:sz w:val="22"/>
                <w:szCs w:val="22"/>
              </w:rPr>
              <w:t>Finance</w:t>
            </w:r>
          </w:p>
        </w:tc>
      </w:tr>
      <w:tr w:rsidR="000D2873" w14:paraId="3DDADB4C" w14:textId="77777777">
        <w:trPr>
          <w:trHeight w:val="20"/>
        </w:trPr>
        <w:tc>
          <w:tcPr>
            <w:tcW w:w="2694" w:type="dxa"/>
          </w:tcPr>
          <w:p w14:paraId="5AF0264B" w14:textId="1EE124EB" w:rsidR="000D2873" w:rsidRDefault="006248DC">
            <w:pPr>
              <w:widowControl w:val="0"/>
              <w:rPr>
                <w:rFonts w:ascii="Calibri" w:eastAsia="Calibri" w:hAnsi="Calibri" w:cs="Calibri"/>
              </w:rPr>
            </w:pPr>
            <w:r>
              <w:rPr>
                <w:rFonts w:ascii="Calibri" w:eastAsia="Calibri" w:hAnsi="Calibri" w:cs="Calibri"/>
                <w:sz w:val="22"/>
                <w:szCs w:val="22"/>
              </w:rPr>
              <w:t xml:space="preserve">PA </w:t>
            </w:r>
            <w:r w:rsidR="000D2873">
              <w:rPr>
                <w:rFonts w:ascii="Calibri" w:eastAsia="Calibri" w:hAnsi="Calibri" w:cs="Calibri"/>
                <w:sz w:val="22"/>
                <w:szCs w:val="22"/>
              </w:rPr>
              <w:t xml:space="preserve">Article 9: developed country </w:t>
            </w:r>
            <w:r w:rsidR="004E357B">
              <w:rPr>
                <w:rFonts w:ascii="Calibri" w:eastAsia="Calibri" w:hAnsi="Calibri" w:cs="Calibri"/>
                <w:sz w:val="22"/>
                <w:szCs w:val="22"/>
              </w:rPr>
              <w:t xml:space="preserve">Parties </w:t>
            </w:r>
            <w:r w:rsidR="000D2873">
              <w:rPr>
                <w:rFonts w:ascii="Calibri" w:eastAsia="Calibri" w:hAnsi="Calibri" w:cs="Calibri"/>
                <w:sz w:val="22"/>
                <w:szCs w:val="22"/>
              </w:rPr>
              <w:t xml:space="preserve">to provide financial resources for assisting developing country </w:t>
            </w:r>
            <w:r w:rsidR="004E357B">
              <w:rPr>
                <w:rFonts w:ascii="Calibri" w:eastAsia="Calibri" w:hAnsi="Calibri" w:cs="Calibri"/>
                <w:sz w:val="22"/>
                <w:szCs w:val="22"/>
              </w:rPr>
              <w:t xml:space="preserve">Parties </w:t>
            </w:r>
            <w:r w:rsidR="000D2873">
              <w:rPr>
                <w:rFonts w:ascii="Calibri" w:eastAsia="Calibri" w:hAnsi="Calibri" w:cs="Calibri"/>
                <w:sz w:val="22"/>
                <w:szCs w:val="22"/>
              </w:rPr>
              <w:t>in mitigation and adaptation (</w:t>
            </w:r>
            <w:r w:rsidR="006C4AB6">
              <w:rPr>
                <w:rFonts w:ascii="Calibri" w:eastAsia="Calibri" w:hAnsi="Calibri" w:cs="Calibri"/>
                <w:sz w:val="22"/>
                <w:szCs w:val="22"/>
              </w:rPr>
              <w:t xml:space="preserve">PA </w:t>
            </w:r>
            <w:r w:rsidR="000D2873">
              <w:rPr>
                <w:rFonts w:ascii="Calibri" w:eastAsia="Calibri" w:hAnsi="Calibri" w:cs="Calibri"/>
                <w:sz w:val="22"/>
                <w:szCs w:val="22"/>
              </w:rPr>
              <w:t>Art.9.1)</w:t>
            </w:r>
          </w:p>
        </w:tc>
        <w:tc>
          <w:tcPr>
            <w:tcW w:w="3685" w:type="dxa"/>
            <w:tcMar>
              <w:left w:w="108" w:type="dxa"/>
              <w:right w:w="108" w:type="dxa"/>
            </w:tcMar>
          </w:tcPr>
          <w:p w14:paraId="49F9E17D" w14:textId="77777777" w:rsidR="000D2873" w:rsidRPr="00BA3FDE" w:rsidRDefault="000D2873">
            <w:pPr>
              <w:widowControl w:val="0"/>
              <w:rPr>
                <w:rFonts w:ascii="Calibri" w:eastAsia="Calibri" w:hAnsi="Calibri" w:cs="Calibri"/>
                <w:sz w:val="22"/>
                <w:szCs w:val="22"/>
              </w:rPr>
            </w:pPr>
            <w:r w:rsidRPr="00BA3FDE">
              <w:rPr>
                <w:rFonts w:ascii="Calibri" w:eastAsia="Calibri" w:hAnsi="Calibri" w:cs="Calibri"/>
                <w:sz w:val="22"/>
                <w:szCs w:val="22"/>
              </w:rPr>
              <w:t>Developed countries intend to mobilize USD 100 billion per year by 2020 through 2025 and set a new collective quantified goal from a floor of USD 100 billion (1/CP.21 para.53) prior to 2025</w:t>
            </w:r>
          </w:p>
        </w:tc>
        <w:tc>
          <w:tcPr>
            <w:tcW w:w="3686" w:type="dxa"/>
            <w:tcMar>
              <w:left w:w="108" w:type="dxa"/>
              <w:right w:w="108" w:type="dxa"/>
            </w:tcMar>
          </w:tcPr>
          <w:p w14:paraId="124C54E0" w14:textId="2C222F4A" w:rsidR="000D2873" w:rsidRPr="00BA3FDE" w:rsidRDefault="000D2873">
            <w:pPr>
              <w:widowControl w:val="0"/>
              <w:rPr>
                <w:rFonts w:ascii="Calibri" w:eastAsia="Calibri" w:hAnsi="Calibri" w:cs="Calibri"/>
                <w:sz w:val="22"/>
                <w:szCs w:val="22"/>
              </w:rPr>
            </w:pPr>
            <w:r w:rsidRPr="00BA3FDE">
              <w:rPr>
                <w:rFonts w:ascii="Calibri" w:eastAsia="Calibri" w:hAnsi="Calibri" w:cs="Calibri"/>
                <w:sz w:val="22"/>
                <w:szCs w:val="22"/>
              </w:rPr>
              <w:t>Decision to initiative discussions on new goal to commence at CMA3 in 2020 with USD 100 billion as floor (14/CMA.1 para.1)</w:t>
            </w:r>
          </w:p>
        </w:tc>
        <w:tc>
          <w:tcPr>
            <w:tcW w:w="3875" w:type="dxa"/>
            <w:tcMar>
              <w:left w:w="108" w:type="dxa"/>
              <w:right w:w="108" w:type="dxa"/>
            </w:tcMar>
          </w:tcPr>
          <w:p w14:paraId="1560CE66" w14:textId="1E7FA8BC" w:rsidR="000D2873" w:rsidRPr="00BA3FDE" w:rsidRDefault="00552DD3" w:rsidP="00C77327">
            <w:pPr>
              <w:widowControl w:val="0"/>
              <w:rPr>
                <w:rFonts w:ascii="Calibri" w:eastAsia="Calibri" w:hAnsi="Calibri" w:cs="Calibri"/>
                <w:sz w:val="22"/>
                <w:szCs w:val="22"/>
              </w:rPr>
            </w:pPr>
            <w:r>
              <w:rPr>
                <w:rFonts w:ascii="Calibri" w:eastAsia="Calibri" w:hAnsi="Calibri" w:cs="Calibri"/>
                <w:sz w:val="22"/>
                <w:szCs w:val="22"/>
              </w:rPr>
              <w:t>Creating systems for the realistic and systematic c</w:t>
            </w:r>
            <w:r w:rsidRPr="00524C0F">
              <w:rPr>
                <w:rFonts w:ascii="Calibri" w:eastAsia="Calibri" w:hAnsi="Calibri" w:cs="Calibri"/>
                <w:sz w:val="22"/>
                <w:szCs w:val="22"/>
              </w:rPr>
              <w:t xml:space="preserve">osting </w:t>
            </w:r>
            <w:r>
              <w:rPr>
                <w:rFonts w:ascii="Calibri" w:eastAsia="Calibri" w:hAnsi="Calibri" w:cs="Calibri"/>
                <w:sz w:val="22"/>
                <w:szCs w:val="22"/>
              </w:rPr>
              <w:t xml:space="preserve">of </w:t>
            </w:r>
            <w:r w:rsidRPr="00524C0F">
              <w:rPr>
                <w:rFonts w:ascii="Calibri" w:eastAsia="Calibri" w:hAnsi="Calibri" w:cs="Calibri"/>
                <w:sz w:val="22"/>
                <w:szCs w:val="22"/>
              </w:rPr>
              <w:t>mitigation and adaptation actions over the medium and long-term</w:t>
            </w:r>
            <w:r>
              <w:rPr>
                <w:rFonts w:ascii="Calibri" w:eastAsia="Calibri" w:hAnsi="Calibri" w:cs="Calibri"/>
                <w:sz w:val="22"/>
                <w:szCs w:val="22"/>
              </w:rPr>
              <w:t>. S</w:t>
            </w:r>
            <w:r w:rsidRPr="00524C0F">
              <w:rPr>
                <w:rFonts w:ascii="Calibri" w:eastAsia="Calibri" w:hAnsi="Calibri" w:cs="Calibri"/>
                <w:sz w:val="22"/>
                <w:szCs w:val="22"/>
              </w:rPr>
              <w:t>trategies in place for accessing available funds</w:t>
            </w:r>
            <w:r w:rsidR="00C77327">
              <w:rPr>
                <w:rFonts w:ascii="Calibri" w:eastAsia="Calibri" w:hAnsi="Calibri" w:cs="Calibri"/>
                <w:sz w:val="22"/>
                <w:szCs w:val="22"/>
              </w:rPr>
              <w:t>.</w:t>
            </w:r>
            <w:r w:rsidR="00C77327" w:rsidRPr="00BA3FDE">
              <w:rPr>
                <w:rFonts w:ascii="Calibri" w:eastAsia="Calibri" w:hAnsi="Calibri" w:cs="Calibri"/>
                <w:sz w:val="22"/>
                <w:szCs w:val="22"/>
              </w:rPr>
              <w:t xml:space="preserve"> </w:t>
            </w:r>
          </w:p>
        </w:tc>
      </w:tr>
      <w:tr w:rsidR="000D2873" w14:paraId="0AB950F8" w14:textId="77777777">
        <w:trPr>
          <w:trHeight w:val="20"/>
        </w:trPr>
        <w:tc>
          <w:tcPr>
            <w:tcW w:w="2694" w:type="dxa"/>
          </w:tcPr>
          <w:p w14:paraId="101BCDF3" w14:textId="537CB739" w:rsidR="000D2873" w:rsidRDefault="003C5BDA">
            <w:pPr>
              <w:widowControl w:val="0"/>
              <w:rPr>
                <w:rFonts w:ascii="Calibri" w:eastAsia="Calibri" w:hAnsi="Calibri" w:cs="Calibri"/>
              </w:rPr>
            </w:pPr>
            <w:r>
              <w:rPr>
                <w:rFonts w:ascii="Calibri" w:eastAsia="Calibri" w:hAnsi="Calibri" w:cs="Calibri"/>
                <w:sz w:val="22"/>
                <w:szCs w:val="22"/>
              </w:rPr>
              <w:t>Developed country P</w:t>
            </w:r>
            <w:r w:rsidR="000D2873">
              <w:rPr>
                <w:rFonts w:ascii="Calibri" w:eastAsia="Calibri" w:hAnsi="Calibri" w:cs="Calibri"/>
                <w:sz w:val="22"/>
                <w:szCs w:val="22"/>
              </w:rPr>
              <w:t xml:space="preserve">arties to </w:t>
            </w:r>
            <w:r w:rsidR="000D2873">
              <w:rPr>
                <w:rFonts w:ascii="Calibri" w:eastAsia="Calibri" w:hAnsi="Calibri" w:cs="Calibri"/>
                <w:sz w:val="22"/>
                <w:szCs w:val="22"/>
              </w:rPr>
              <w:lastRenderedPageBreak/>
              <w:t>communicate biennially indicative information (ex-ante) on mobilization of climate finance (</w:t>
            </w:r>
            <w:r w:rsidR="004E357B">
              <w:rPr>
                <w:rFonts w:ascii="Calibri" w:eastAsia="Calibri" w:hAnsi="Calibri" w:cs="Calibri"/>
                <w:sz w:val="22"/>
                <w:szCs w:val="22"/>
              </w:rPr>
              <w:t xml:space="preserve">PA </w:t>
            </w:r>
            <w:r w:rsidR="000D2873">
              <w:rPr>
                <w:rFonts w:ascii="Calibri" w:eastAsia="Calibri" w:hAnsi="Calibri" w:cs="Calibri"/>
                <w:sz w:val="22"/>
                <w:szCs w:val="22"/>
              </w:rPr>
              <w:t>Art.9.5)</w:t>
            </w:r>
          </w:p>
        </w:tc>
        <w:tc>
          <w:tcPr>
            <w:tcW w:w="3685" w:type="dxa"/>
            <w:tcMar>
              <w:left w:w="108" w:type="dxa"/>
              <w:right w:w="108" w:type="dxa"/>
            </w:tcMar>
          </w:tcPr>
          <w:p w14:paraId="15B8A6DE" w14:textId="5236D8CF" w:rsidR="000D2873" w:rsidRPr="00BA3FDE" w:rsidRDefault="000D2873">
            <w:pPr>
              <w:widowControl w:val="0"/>
              <w:rPr>
                <w:rFonts w:ascii="Calibri" w:eastAsia="Calibri" w:hAnsi="Calibri" w:cs="Calibri"/>
                <w:sz w:val="22"/>
                <w:szCs w:val="22"/>
              </w:rPr>
            </w:pPr>
            <w:r w:rsidRPr="00BA3FDE">
              <w:rPr>
                <w:rFonts w:ascii="Calibri" w:eastAsia="Calibri" w:hAnsi="Calibri" w:cs="Calibri"/>
                <w:sz w:val="22"/>
                <w:szCs w:val="22"/>
              </w:rPr>
              <w:lastRenderedPageBreak/>
              <w:t xml:space="preserve">Identify the indicative quantitative </w:t>
            </w:r>
            <w:r w:rsidRPr="00BA3FDE">
              <w:rPr>
                <w:rFonts w:ascii="Calibri" w:eastAsia="Calibri" w:hAnsi="Calibri" w:cs="Calibri"/>
                <w:sz w:val="22"/>
                <w:szCs w:val="22"/>
              </w:rPr>
              <w:lastRenderedPageBreak/>
              <w:t>and qualitative information on projected levels of public financial resources to be provided to developing country Parties (</w:t>
            </w:r>
            <w:r w:rsidR="004E357B">
              <w:rPr>
                <w:rFonts w:ascii="Calibri" w:eastAsia="Calibri" w:hAnsi="Calibri" w:cs="Calibri"/>
                <w:sz w:val="22"/>
                <w:szCs w:val="22"/>
              </w:rPr>
              <w:t xml:space="preserve">1/CP.21 </w:t>
            </w:r>
            <w:r w:rsidRPr="00BA3FDE">
              <w:rPr>
                <w:rFonts w:ascii="Calibri" w:eastAsia="Calibri" w:hAnsi="Calibri" w:cs="Calibri"/>
                <w:sz w:val="22"/>
                <w:szCs w:val="22"/>
              </w:rPr>
              <w:t>para.55)</w:t>
            </w:r>
            <w:r w:rsidR="004E357B">
              <w:rPr>
                <w:rFonts w:ascii="Calibri" w:eastAsia="Calibri" w:hAnsi="Calibri" w:cs="Calibri"/>
                <w:sz w:val="22"/>
                <w:szCs w:val="22"/>
              </w:rPr>
              <w:t xml:space="preserve"> at CMA1 (Katowice, 2018)</w:t>
            </w:r>
          </w:p>
        </w:tc>
        <w:tc>
          <w:tcPr>
            <w:tcW w:w="3686" w:type="dxa"/>
            <w:tcMar>
              <w:left w:w="108" w:type="dxa"/>
              <w:right w:w="108" w:type="dxa"/>
            </w:tcMar>
          </w:tcPr>
          <w:p w14:paraId="67E63FFA" w14:textId="693D52C5" w:rsidR="000D2873" w:rsidRPr="00BA3FDE" w:rsidRDefault="000D2873" w:rsidP="007E346D">
            <w:pPr>
              <w:widowControl w:val="0"/>
              <w:rPr>
                <w:rFonts w:ascii="Calibri" w:eastAsia="Calibri" w:hAnsi="Calibri" w:cs="Calibri"/>
                <w:sz w:val="22"/>
                <w:szCs w:val="22"/>
              </w:rPr>
            </w:pPr>
            <w:r w:rsidRPr="00BA3FDE">
              <w:rPr>
                <w:rFonts w:ascii="Calibri" w:eastAsia="Calibri" w:hAnsi="Calibri" w:cs="Calibri"/>
                <w:sz w:val="22"/>
                <w:szCs w:val="22"/>
              </w:rPr>
              <w:lastRenderedPageBreak/>
              <w:t xml:space="preserve">Types of information agreed, </w:t>
            </w:r>
            <w:r w:rsidRPr="00BA3FDE">
              <w:rPr>
                <w:rFonts w:ascii="Calibri" w:eastAsia="Calibri" w:hAnsi="Calibri" w:cs="Calibri"/>
                <w:sz w:val="22"/>
                <w:szCs w:val="22"/>
              </w:rPr>
              <w:lastRenderedPageBreak/>
              <w:t>dedicated online portal will record biennial communications (12/CMA.1, paras 4</w:t>
            </w:r>
            <w:r w:rsidR="004E357B">
              <w:rPr>
                <w:rFonts w:ascii="Calibri" w:eastAsia="Calibri" w:hAnsi="Calibri" w:cs="Calibri"/>
                <w:sz w:val="22"/>
                <w:szCs w:val="22"/>
              </w:rPr>
              <w:t xml:space="preserve">, </w:t>
            </w:r>
            <w:r w:rsidRPr="00BA3FDE">
              <w:rPr>
                <w:rFonts w:ascii="Calibri" w:eastAsia="Calibri" w:hAnsi="Calibri" w:cs="Calibri"/>
                <w:sz w:val="22"/>
                <w:szCs w:val="22"/>
              </w:rPr>
              <w:t>6 &amp; Annex)</w:t>
            </w:r>
          </w:p>
        </w:tc>
        <w:tc>
          <w:tcPr>
            <w:tcW w:w="3875" w:type="dxa"/>
            <w:tcMar>
              <w:left w:w="108" w:type="dxa"/>
              <w:right w:w="108" w:type="dxa"/>
            </w:tcMar>
          </w:tcPr>
          <w:p w14:paraId="073155E8" w14:textId="229BF36B" w:rsidR="000D2873" w:rsidRPr="003C5BDA" w:rsidRDefault="006741F1" w:rsidP="00FB6B80">
            <w:pPr>
              <w:keepNext/>
              <w:keepLines/>
              <w:widowControl w:val="0"/>
              <w:outlineLvl w:val="2"/>
              <w:rPr>
                <w:rFonts w:ascii="Calibri" w:eastAsia="Calibri" w:hAnsi="Calibri" w:cs="Calibri"/>
                <w:sz w:val="22"/>
                <w:szCs w:val="22"/>
              </w:rPr>
            </w:pPr>
            <w:r w:rsidRPr="003C5BDA">
              <w:rPr>
                <w:rFonts w:ascii="Calibri" w:eastAsia="Calibri" w:hAnsi="Calibri" w:cs="Calibri"/>
                <w:sz w:val="22"/>
                <w:szCs w:val="22"/>
              </w:rPr>
              <w:lastRenderedPageBreak/>
              <w:t>Develo</w:t>
            </w:r>
            <w:r w:rsidR="00FB6B80">
              <w:rPr>
                <w:rFonts w:ascii="Calibri" w:eastAsia="Calibri" w:hAnsi="Calibri" w:cs="Calibri"/>
                <w:sz w:val="22"/>
                <w:szCs w:val="22"/>
              </w:rPr>
              <w:t>ping country Parties may</w:t>
            </w:r>
            <w:r w:rsidRPr="003C5BDA">
              <w:rPr>
                <w:rFonts w:ascii="Calibri" w:eastAsia="Calibri" w:hAnsi="Calibri" w:cs="Calibri"/>
                <w:sz w:val="22"/>
                <w:szCs w:val="22"/>
              </w:rPr>
              <w:t xml:space="preserve"> consider </w:t>
            </w:r>
            <w:r w:rsidRPr="003C5BDA">
              <w:rPr>
                <w:rFonts w:ascii="Calibri" w:eastAsia="Calibri" w:hAnsi="Calibri" w:cs="Calibri"/>
                <w:sz w:val="22"/>
                <w:szCs w:val="22"/>
              </w:rPr>
              <w:lastRenderedPageBreak/>
              <w:t xml:space="preserve">putting systems in place to monitor these biennial reports on projected financial flows and match them against their priorities, needs and plans for action. </w:t>
            </w:r>
          </w:p>
        </w:tc>
      </w:tr>
      <w:tr w:rsidR="000D2873" w14:paraId="17E4E2A3" w14:textId="77777777">
        <w:trPr>
          <w:trHeight w:val="20"/>
        </w:trPr>
        <w:tc>
          <w:tcPr>
            <w:tcW w:w="2694" w:type="dxa"/>
          </w:tcPr>
          <w:p w14:paraId="0263E99A" w14:textId="2BA62E56" w:rsidR="000D2873" w:rsidRDefault="000D2873">
            <w:pPr>
              <w:widowControl w:val="0"/>
              <w:rPr>
                <w:rFonts w:ascii="Calibri" w:eastAsia="Calibri" w:hAnsi="Calibri" w:cs="Calibri"/>
              </w:rPr>
            </w:pPr>
            <w:r>
              <w:rPr>
                <w:rFonts w:ascii="Calibri" w:eastAsia="Calibri" w:hAnsi="Calibri" w:cs="Calibri"/>
                <w:sz w:val="22"/>
                <w:szCs w:val="22"/>
              </w:rPr>
              <w:lastRenderedPageBreak/>
              <w:t>Developed country parties to report biennially on support mobilized through public interventions (</w:t>
            </w:r>
            <w:r w:rsidR="006741F1">
              <w:rPr>
                <w:rFonts w:ascii="Calibri" w:eastAsia="Calibri" w:hAnsi="Calibri" w:cs="Calibri"/>
                <w:sz w:val="22"/>
                <w:szCs w:val="22"/>
              </w:rPr>
              <w:t xml:space="preserve">PA </w:t>
            </w:r>
            <w:r>
              <w:rPr>
                <w:rFonts w:ascii="Calibri" w:eastAsia="Calibri" w:hAnsi="Calibri" w:cs="Calibri"/>
                <w:sz w:val="22"/>
                <w:szCs w:val="22"/>
              </w:rPr>
              <w:t>Art.9.7)</w:t>
            </w:r>
          </w:p>
        </w:tc>
        <w:tc>
          <w:tcPr>
            <w:tcW w:w="3685" w:type="dxa"/>
            <w:tcMar>
              <w:left w:w="108" w:type="dxa"/>
              <w:right w:w="108" w:type="dxa"/>
            </w:tcMar>
          </w:tcPr>
          <w:p w14:paraId="4E057291" w14:textId="214C5617" w:rsidR="000D2873" w:rsidRPr="00BA3FDE" w:rsidRDefault="000D2873">
            <w:pPr>
              <w:widowControl w:val="0"/>
              <w:rPr>
                <w:rFonts w:ascii="Calibri" w:eastAsia="Calibri" w:hAnsi="Calibri" w:cs="Calibri"/>
                <w:sz w:val="22"/>
                <w:szCs w:val="22"/>
              </w:rPr>
            </w:pPr>
            <w:r w:rsidRPr="00BA3FDE">
              <w:rPr>
                <w:rFonts w:ascii="Calibri" w:eastAsia="Calibri" w:hAnsi="Calibri" w:cs="Calibri"/>
                <w:sz w:val="22"/>
                <w:szCs w:val="22"/>
              </w:rPr>
              <w:t>Modalities, procedures and guidelines for the biannual provision of transparent and consistent information (</w:t>
            </w:r>
            <w:r w:rsidR="006741F1">
              <w:rPr>
                <w:rFonts w:ascii="Calibri" w:eastAsia="Calibri" w:hAnsi="Calibri" w:cs="Calibri"/>
                <w:sz w:val="22"/>
                <w:szCs w:val="22"/>
              </w:rPr>
              <w:t>1/CP.21</w:t>
            </w:r>
            <w:r w:rsidRPr="00BA3FDE">
              <w:rPr>
                <w:rFonts w:ascii="Calibri" w:eastAsia="Calibri" w:hAnsi="Calibri" w:cs="Calibri"/>
                <w:sz w:val="22"/>
                <w:szCs w:val="22"/>
              </w:rPr>
              <w:t xml:space="preserve"> para.57)</w:t>
            </w:r>
            <w:r w:rsidR="006741F1">
              <w:rPr>
                <w:rFonts w:ascii="Calibri" w:eastAsia="Calibri" w:hAnsi="Calibri" w:cs="Calibri"/>
                <w:sz w:val="22"/>
                <w:szCs w:val="22"/>
              </w:rPr>
              <w:t xml:space="preserve"> at CMA1 (Katowice, 2018)</w:t>
            </w:r>
          </w:p>
        </w:tc>
        <w:tc>
          <w:tcPr>
            <w:tcW w:w="3686" w:type="dxa"/>
            <w:tcMar>
              <w:left w:w="108" w:type="dxa"/>
              <w:right w:w="108" w:type="dxa"/>
            </w:tcMar>
          </w:tcPr>
          <w:p w14:paraId="4208F24E" w14:textId="3BC10C51" w:rsidR="000D2873" w:rsidRPr="00BA3FDE" w:rsidRDefault="000D2873">
            <w:pPr>
              <w:widowControl w:val="0"/>
              <w:rPr>
                <w:rFonts w:ascii="Calibri" w:eastAsia="Calibri" w:hAnsi="Calibri" w:cs="Calibri"/>
                <w:sz w:val="22"/>
                <w:szCs w:val="22"/>
              </w:rPr>
            </w:pPr>
            <w:r w:rsidRPr="00BA3FDE">
              <w:rPr>
                <w:rFonts w:ascii="Calibri" w:eastAsia="Calibri" w:hAnsi="Calibri" w:cs="Calibri"/>
                <w:sz w:val="22"/>
                <w:szCs w:val="22"/>
              </w:rPr>
              <w:t>Agreement on potential information (amount, financial instrument, definition of public and private finance etc.) was incorporated into the decision on modalities</w:t>
            </w:r>
            <w:r w:rsidR="00C55104">
              <w:rPr>
                <w:rFonts w:ascii="Calibri" w:eastAsia="Calibri" w:hAnsi="Calibri" w:cs="Calibri"/>
                <w:sz w:val="22"/>
                <w:szCs w:val="22"/>
              </w:rPr>
              <w:t>, procedures</w:t>
            </w:r>
            <w:r w:rsidR="00FB6B80">
              <w:rPr>
                <w:rFonts w:ascii="Calibri" w:eastAsia="Calibri" w:hAnsi="Calibri" w:cs="Calibri"/>
                <w:sz w:val="22"/>
                <w:szCs w:val="22"/>
              </w:rPr>
              <w:t xml:space="preserve"> </w:t>
            </w:r>
            <w:r w:rsidRPr="00BA3FDE">
              <w:rPr>
                <w:rFonts w:ascii="Calibri" w:eastAsia="Calibri" w:hAnsi="Calibri" w:cs="Calibri"/>
                <w:sz w:val="22"/>
                <w:szCs w:val="22"/>
              </w:rPr>
              <w:t xml:space="preserve">and guidelines for the transparency framework under </w:t>
            </w:r>
            <w:r w:rsidR="006C4AB6">
              <w:rPr>
                <w:rFonts w:ascii="Calibri" w:eastAsia="Calibri" w:hAnsi="Calibri" w:cs="Calibri"/>
                <w:sz w:val="22"/>
                <w:szCs w:val="22"/>
              </w:rPr>
              <w:t xml:space="preserve">PA </w:t>
            </w:r>
            <w:r w:rsidRPr="00BA3FDE">
              <w:rPr>
                <w:rFonts w:ascii="Calibri" w:eastAsia="Calibri" w:hAnsi="Calibri" w:cs="Calibri"/>
                <w:sz w:val="22"/>
                <w:szCs w:val="22"/>
              </w:rPr>
              <w:t>Art.13 (Annex to 18/CMA.1 paras 123 – 125)</w:t>
            </w:r>
            <w:r w:rsidR="00B42B27" w:rsidRPr="00BA3FDE">
              <w:rPr>
                <w:rStyle w:val="FootnoteReference"/>
                <w:rFonts w:ascii="Calibri" w:eastAsia="Calibri" w:hAnsi="Calibri" w:cs="Calibri"/>
                <w:sz w:val="22"/>
                <w:szCs w:val="22"/>
              </w:rPr>
              <w:footnoteReference w:id="2"/>
            </w:r>
          </w:p>
        </w:tc>
        <w:tc>
          <w:tcPr>
            <w:tcW w:w="3875" w:type="dxa"/>
            <w:tcMar>
              <w:left w:w="108" w:type="dxa"/>
              <w:right w:w="108" w:type="dxa"/>
            </w:tcMar>
          </w:tcPr>
          <w:p w14:paraId="6C446BB5" w14:textId="3BA2128D" w:rsidR="000D2873" w:rsidRPr="00C77327" w:rsidRDefault="00C77327" w:rsidP="00C77327">
            <w:pPr>
              <w:widowControl w:val="0"/>
              <w:rPr>
                <w:rFonts w:ascii="Calibri" w:eastAsia="Calibri" w:hAnsi="Calibri" w:cs="Calibri"/>
                <w:sz w:val="22"/>
                <w:szCs w:val="22"/>
                <w:highlight w:val="yellow"/>
              </w:rPr>
            </w:pPr>
            <w:r w:rsidRPr="00C77327">
              <w:rPr>
                <w:rFonts w:ascii="Calibri" w:eastAsia="Calibri" w:hAnsi="Calibri" w:cs="Calibri"/>
                <w:sz w:val="22"/>
                <w:szCs w:val="22"/>
              </w:rPr>
              <w:t>See</w:t>
            </w:r>
            <w:r>
              <w:rPr>
                <w:rFonts w:ascii="Calibri" w:eastAsia="Calibri" w:hAnsi="Calibri" w:cs="Calibri"/>
                <w:sz w:val="22"/>
                <w:szCs w:val="22"/>
              </w:rPr>
              <w:t xml:space="preserve"> below under</w:t>
            </w:r>
            <w:r w:rsidR="00C55104">
              <w:rPr>
                <w:rFonts w:ascii="Calibri" w:eastAsia="Calibri" w:hAnsi="Calibri" w:cs="Calibri"/>
                <w:sz w:val="22"/>
                <w:szCs w:val="22"/>
              </w:rPr>
              <w:t xml:space="preserve"> section on transparency </w:t>
            </w:r>
            <w:r w:rsidR="006C4AB6">
              <w:rPr>
                <w:rFonts w:ascii="Calibri" w:eastAsia="Calibri" w:hAnsi="Calibri" w:cs="Calibri"/>
                <w:sz w:val="22"/>
                <w:szCs w:val="22"/>
              </w:rPr>
              <w:t xml:space="preserve">of action </w:t>
            </w:r>
            <w:r w:rsidR="00C55104">
              <w:rPr>
                <w:rFonts w:ascii="Calibri" w:eastAsia="Calibri" w:hAnsi="Calibri" w:cs="Calibri"/>
                <w:sz w:val="22"/>
                <w:szCs w:val="22"/>
              </w:rPr>
              <w:t>and support</w:t>
            </w:r>
          </w:p>
        </w:tc>
      </w:tr>
      <w:tr w:rsidR="000D2873" w14:paraId="46BFF68E" w14:textId="77777777">
        <w:trPr>
          <w:trHeight w:val="20"/>
        </w:trPr>
        <w:tc>
          <w:tcPr>
            <w:tcW w:w="2694" w:type="dxa"/>
            <w:vMerge w:val="restart"/>
          </w:tcPr>
          <w:p w14:paraId="42D73FA3" w14:textId="77777777" w:rsidR="000D2873" w:rsidRPr="00363E5C" w:rsidRDefault="000D2873">
            <w:pPr>
              <w:widowControl w:val="0"/>
              <w:rPr>
                <w:rFonts w:ascii="Calibri" w:eastAsia="Calibri" w:hAnsi="Calibri" w:cs="Calibri"/>
                <w:sz w:val="22"/>
                <w:szCs w:val="22"/>
              </w:rPr>
            </w:pPr>
            <w:r w:rsidRPr="00363E5C">
              <w:rPr>
                <w:rFonts w:ascii="Calibri" w:eastAsia="Calibri" w:hAnsi="Calibri" w:cs="Calibri"/>
                <w:sz w:val="22"/>
                <w:szCs w:val="22"/>
              </w:rPr>
              <w:t xml:space="preserve">Matters relating to the Adaptation Fund </w:t>
            </w:r>
          </w:p>
        </w:tc>
        <w:tc>
          <w:tcPr>
            <w:tcW w:w="3685" w:type="dxa"/>
            <w:tcMar>
              <w:left w:w="108" w:type="dxa"/>
              <w:right w:w="108" w:type="dxa"/>
            </w:tcMar>
          </w:tcPr>
          <w:p w14:paraId="56B12170" w14:textId="0DA649EE" w:rsidR="000D2873" w:rsidRPr="00BA3FDE" w:rsidRDefault="000D2873">
            <w:pPr>
              <w:widowControl w:val="0"/>
              <w:rPr>
                <w:rFonts w:ascii="Calibri" w:eastAsia="Calibri" w:hAnsi="Calibri" w:cs="Calibri"/>
                <w:sz w:val="22"/>
                <w:szCs w:val="22"/>
              </w:rPr>
            </w:pPr>
            <w:r w:rsidRPr="00BA3FDE">
              <w:rPr>
                <w:rFonts w:ascii="Calibri" w:eastAsia="Calibri" w:hAnsi="Calibri" w:cs="Calibri"/>
                <w:sz w:val="22"/>
                <w:szCs w:val="22"/>
              </w:rPr>
              <w:t>Considering the issue of the Adaptation Fund (which was established under the Kyoto Protocol) serving the PA (</w:t>
            </w:r>
            <w:r w:rsidR="00C55104">
              <w:rPr>
                <w:rFonts w:ascii="Calibri" w:eastAsia="Calibri" w:hAnsi="Calibri" w:cs="Calibri"/>
                <w:sz w:val="22"/>
                <w:szCs w:val="22"/>
              </w:rPr>
              <w:t xml:space="preserve">1/CP.21 </w:t>
            </w:r>
            <w:r w:rsidRPr="00BA3FDE">
              <w:rPr>
                <w:rFonts w:ascii="Calibri" w:eastAsia="Calibri" w:hAnsi="Calibri" w:cs="Calibri"/>
                <w:sz w:val="22"/>
                <w:szCs w:val="22"/>
              </w:rPr>
              <w:t>para</w:t>
            </w:r>
            <w:r w:rsidR="00C55104">
              <w:rPr>
                <w:rFonts w:ascii="Calibri" w:eastAsia="Calibri" w:hAnsi="Calibri" w:cs="Calibri"/>
                <w:sz w:val="22"/>
                <w:szCs w:val="22"/>
              </w:rPr>
              <w:t>s</w:t>
            </w:r>
            <w:r w:rsidRPr="00BA3FDE">
              <w:rPr>
                <w:rFonts w:ascii="Calibri" w:eastAsia="Calibri" w:hAnsi="Calibri" w:cs="Calibri"/>
                <w:sz w:val="22"/>
                <w:szCs w:val="22"/>
              </w:rPr>
              <w:t>.</w:t>
            </w:r>
            <w:r w:rsidR="00C55104">
              <w:rPr>
                <w:rFonts w:ascii="Calibri" w:eastAsia="Calibri" w:hAnsi="Calibri" w:cs="Calibri"/>
                <w:sz w:val="22"/>
                <w:szCs w:val="22"/>
              </w:rPr>
              <w:t xml:space="preserve">59 and </w:t>
            </w:r>
            <w:r w:rsidRPr="00BA3FDE">
              <w:rPr>
                <w:rFonts w:ascii="Calibri" w:eastAsia="Calibri" w:hAnsi="Calibri" w:cs="Calibri"/>
                <w:sz w:val="22"/>
                <w:szCs w:val="22"/>
              </w:rPr>
              <w:t>60)</w:t>
            </w:r>
            <w:r w:rsidR="00C55104">
              <w:rPr>
                <w:rFonts w:ascii="Calibri" w:eastAsia="Calibri" w:hAnsi="Calibri" w:cs="Calibri"/>
                <w:sz w:val="22"/>
                <w:szCs w:val="22"/>
              </w:rPr>
              <w:t xml:space="preserve"> at CMA1 (Katowice, 2018)</w:t>
            </w:r>
          </w:p>
        </w:tc>
        <w:tc>
          <w:tcPr>
            <w:tcW w:w="3686" w:type="dxa"/>
            <w:tcMar>
              <w:left w:w="108" w:type="dxa"/>
              <w:right w:w="108" w:type="dxa"/>
            </w:tcMar>
          </w:tcPr>
          <w:p w14:paraId="645C9BA1" w14:textId="0ECD6EE4" w:rsidR="000D2873" w:rsidRPr="00BA3FDE" w:rsidRDefault="000D2873" w:rsidP="00FB4E84">
            <w:pPr>
              <w:widowControl w:val="0"/>
              <w:rPr>
                <w:rFonts w:ascii="Calibri" w:eastAsia="Calibri" w:hAnsi="Calibri" w:cs="Calibri"/>
                <w:sz w:val="22"/>
                <w:szCs w:val="22"/>
              </w:rPr>
            </w:pPr>
            <w:r w:rsidRPr="00BA3FDE">
              <w:rPr>
                <w:rFonts w:ascii="Calibri" w:eastAsia="Calibri" w:hAnsi="Calibri" w:cs="Calibri"/>
                <w:sz w:val="22"/>
                <w:szCs w:val="22"/>
              </w:rPr>
              <w:t xml:space="preserve">Adaptation Fund will also serve </w:t>
            </w:r>
            <w:r w:rsidR="00C55104">
              <w:rPr>
                <w:rFonts w:ascii="Calibri" w:eastAsia="Calibri" w:hAnsi="Calibri" w:cs="Calibri"/>
                <w:sz w:val="22"/>
                <w:szCs w:val="22"/>
              </w:rPr>
              <w:t xml:space="preserve">the </w:t>
            </w:r>
            <w:r w:rsidRPr="00BA3FDE">
              <w:rPr>
                <w:rFonts w:ascii="Calibri" w:eastAsia="Calibri" w:hAnsi="Calibri" w:cs="Calibri"/>
                <w:sz w:val="22"/>
                <w:szCs w:val="22"/>
              </w:rPr>
              <w:t xml:space="preserve">PA from 1 January 2019 </w:t>
            </w:r>
            <w:r w:rsidR="008B6EA5">
              <w:rPr>
                <w:rFonts w:ascii="Calibri" w:eastAsia="Calibri" w:hAnsi="Calibri" w:cs="Calibri"/>
                <w:sz w:val="22"/>
                <w:szCs w:val="22"/>
              </w:rPr>
              <w:t>(13/CMA.1, para</w:t>
            </w:r>
            <w:r w:rsidR="00FB4E84" w:rsidRPr="00BA3FDE">
              <w:rPr>
                <w:rFonts w:ascii="Calibri" w:eastAsia="Calibri" w:hAnsi="Calibri" w:cs="Calibri"/>
                <w:sz w:val="22"/>
                <w:szCs w:val="22"/>
              </w:rPr>
              <w:t xml:space="preserve">.1) </w:t>
            </w:r>
            <w:r w:rsidRPr="00BA3FDE">
              <w:rPr>
                <w:rFonts w:ascii="Calibri" w:eastAsia="Calibri" w:hAnsi="Calibri" w:cs="Calibri"/>
                <w:sz w:val="22"/>
                <w:szCs w:val="22"/>
              </w:rPr>
              <w:t xml:space="preserve">and only </w:t>
            </w:r>
            <w:r w:rsidR="00C55104">
              <w:rPr>
                <w:rFonts w:ascii="Calibri" w:eastAsia="Calibri" w:hAnsi="Calibri" w:cs="Calibri"/>
                <w:sz w:val="22"/>
                <w:szCs w:val="22"/>
              </w:rPr>
              <w:t xml:space="preserve">the </w:t>
            </w:r>
            <w:r w:rsidRPr="00BA3FDE">
              <w:rPr>
                <w:rFonts w:ascii="Calibri" w:eastAsia="Calibri" w:hAnsi="Calibri" w:cs="Calibri"/>
                <w:sz w:val="22"/>
                <w:szCs w:val="22"/>
              </w:rPr>
              <w:t>PA</w:t>
            </w:r>
            <w:r w:rsidR="00C55104">
              <w:rPr>
                <w:rFonts w:ascii="Calibri" w:eastAsia="Calibri" w:hAnsi="Calibri" w:cs="Calibri"/>
                <w:sz w:val="22"/>
                <w:szCs w:val="22"/>
              </w:rPr>
              <w:t xml:space="preserve"> (</w:t>
            </w:r>
            <w:r w:rsidRPr="00BA3FDE">
              <w:rPr>
                <w:rFonts w:ascii="Calibri" w:eastAsia="Calibri" w:hAnsi="Calibri" w:cs="Calibri"/>
                <w:sz w:val="22"/>
                <w:szCs w:val="22"/>
              </w:rPr>
              <w:t>no</w:t>
            </w:r>
            <w:r w:rsidR="00FB4E84" w:rsidRPr="00BA3FDE">
              <w:rPr>
                <w:rFonts w:ascii="Calibri" w:eastAsia="Calibri" w:hAnsi="Calibri" w:cs="Calibri"/>
                <w:sz w:val="22"/>
                <w:szCs w:val="22"/>
              </w:rPr>
              <w:t xml:space="preserve"> longer the</w:t>
            </w:r>
            <w:r w:rsidRPr="00BA3FDE">
              <w:rPr>
                <w:rFonts w:ascii="Calibri" w:eastAsia="Calibri" w:hAnsi="Calibri" w:cs="Calibri"/>
                <w:sz w:val="22"/>
                <w:szCs w:val="22"/>
              </w:rPr>
              <w:t xml:space="preserve"> Kyoto Protocol</w:t>
            </w:r>
            <w:r w:rsidR="00C55104">
              <w:rPr>
                <w:rFonts w:ascii="Calibri" w:eastAsia="Calibri" w:hAnsi="Calibri" w:cs="Calibri"/>
                <w:sz w:val="22"/>
                <w:szCs w:val="22"/>
              </w:rPr>
              <w:t>)</w:t>
            </w:r>
            <w:r w:rsidRPr="00BA3FDE">
              <w:rPr>
                <w:rFonts w:ascii="Calibri" w:eastAsia="Calibri" w:hAnsi="Calibri" w:cs="Calibri"/>
                <w:sz w:val="22"/>
                <w:szCs w:val="22"/>
              </w:rPr>
              <w:t xml:space="preserve"> when </w:t>
            </w:r>
            <w:r w:rsidR="00C55104">
              <w:rPr>
                <w:rFonts w:ascii="Calibri" w:eastAsia="Calibri" w:hAnsi="Calibri" w:cs="Calibri"/>
                <w:sz w:val="22"/>
                <w:szCs w:val="22"/>
              </w:rPr>
              <w:t xml:space="preserve">the </w:t>
            </w:r>
            <w:r w:rsidRPr="00BA3FDE">
              <w:rPr>
                <w:rFonts w:ascii="Calibri" w:eastAsia="Calibri" w:hAnsi="Calibri" w:cs="Calibri"/>
                <w:sz w:val="22"/>
                <w:szCs w:val="22"/>
              </w:rPr>
              <w:t xml:space="preserve">share of proceeds from trading under </w:t>
            </w:r>
            <w:r w:rsidR="006C4AB6">
              <w:rPr>
                <w:rFonts w:ascii="Calibri" w:eastAsia="Calibri" w:hAnsi="Calibri" w:cs="Calibri"/>
                <w:sz w:val="22"/>
                <w:szCs w:val="22"/>
              </w:rPr>
              <w:t xml:space="preserve">PA </w:t>
            </w:r>
            <w:r w:rsidRPr="00BA3FDE">
              <w:rPr>
                <w:rFonts w:ascii="Calibri" w:eastAsia="Calibri" w:hAnsi="Calibri" w:cs="Calibri"/>
                <w:sz w:val="22"/>
                <w:szCs w:val="22"/>
              </w:rPr>
              <w:t xml:space="preserve">Art.6.4 becomes available </w:t>
            </w:r>
            <w:r w:rsidR="00FB4E84" w:rsidRPr="00BA3FDE">
              <w:rPr>
                <w:rFonts w:ascii="Calibri" w:eastAsia="Calibri" w:hAnsi="Calibri" w:cs="Calibri"/>
                <w:sz w:val="22"/>
                <w:szCs w:val="22"/>
              </w:rPr>
              <w:t>(1/CMP.14 para.2)</w:t>
            </w:r>
            <w:r w:rsidR="004656F8" w:rsidRPr="00BA3FDE">
              <w:rPr>
                <w:rStyle w:val="FootnoteReference"/>
                <w:rFonts w:ascii="Calibri" w:eastAsia="Calibri" w:hAnsi="Calibri" w:cs="Calibri"/>
                <w:sz w:val="22"/>
                <w:szCs w:val="22"/>
              </w:rPr>
              <w:footnoteReference w:id="3"/>
            </w:r>
          </w:p>
        </w:tc>
        <w:tc>
          <w:tcPr>
            <w:tcW w:w="3875" w:type="dxa"/>
            <w:tcMar>
              <w:left w:w="108" w:type="dxa"/>
              <w:right w:w="108" w:type="dxa"/>
            </w:tcMar>
          </w:tcPr>
          <w:p w14:paraId="4FCB5670" w14:textId="2D47ED60" w:rsidR="000D2873" w:rsidRPr="00BA3FDE" w:rsidRDefault="00C77327" w:rsidP="00C77327">
            <w:pPr>
              <w:widowControl w:val="0"/>
              <w:rPr>
                <w:rFonts w:ascii="Calibri" w:eastAsia="Calibri" w:hAnsi="Calibri" w:cs="Calibri"/>
                <w:sz w:val="22"/>
                <w:szCs w:val="22"/>
              </w:rPr>
            </w:pPr>
            <w:r>
              <w:rPr>
                <w:rFonts w:ascii="Calibri" w:eastAsia="Calibri" w:hAnsi="Calibri" w:cs="Calibri"/>
                <w:sz w:val="22"/>
                <w:szCs w:val="22"/>
              </w:rPr>
              <w:t>International governance process</w:t>
            </w:r>
          </w:p>
        </w:tc>
      </w:tr>
      <w:tr w:rsidR="000D2873" w14:paraId="4E14CC7A" w14:textId="77777777" w:rsidTr="00F21DE7">
        <w:trPr>
          <w:trHeight w:val="20"/>
        </w:trPr>
        <w:tc>
          <w:tcPr>
            <w:tcW w:w="2694" w:type="dxa"/>
            <w:vMerge/>
          </w:tcPr>
          <w:p w14:paraId="4D6286B1" w14:textId="77777777" w:rsidR="000D2873" w:rsidRDefault="000D2873">
            <w:pPr>
              <w:widowControl w:val="0"/>
              <w:pBdr>
                <w:top w:val="nil"/>
                <w:left w:val="nil"/>
                <w:bottom w:val="nil"/>
                <w:right w:val="nil"/>
                <w:between w:val="nil"/>
              </w:pBdr>
              <w:spacing w:line="276" w:lineRule="auto"/>
              <w:rPr>
                <w:rFonts w:ascii="Calibri" w:eastAsia="Calibri" w:hAnsi="Calibri" w:cs="Calibri"/>
              </w:rPr>
            </w:pPr>
          </w:p>
        </w:tc>
        <w:tc>
          <w:tcPr>
            <w:tcW w:w="3685" w:type="dxa"/>
            <w:tcMar>
              <w:left w:w="108" w:type="dxa"/>
              <w:right w:w="108" w:type="dxa"/>
            </w:tcMar>
          </w:tcPr>
          <w:p w14:paraId="57D61DB9" w14:textId="76452BF0" w:rsidR="000D2873" w:rsidRPr="00BA3FDE" w:rsidRDefault="000D2873">
            <w:pPr>
              <w:widowControl w:val="0"/>
              <w:rPr>
                <w:rFonts w:ascii="Calibri" w:eastAsia="Calibri" w:hAnsi="Calibri" w:cs="Calibri"/>
                <w:sz w:val="22"/>
                <w:szCs w:val="22"/>
              </w:rPr>
            </w:pPr>
            <w:r w:rsidRPr="00BA3FDE">
              <w:rPr>
                <w:rFonts w:ascii="Calibri" w:eastAsia="Calibri" w:hAnsi="Calibri" w:cs="Calibri"/>
                <w:sz w:val="22"/>
                <w:szCs w:val="22"/>
              </w:rPr>
              <w:t>Provide guidance to the entities entrusted with the operation of the Financial Mechanism of the Convention on the policies, programme priorities and eligibility criteria related to the PA (</w:t>
            </w:r>
            <w:r w:rsidR="00C55104">
              <w:rPr>
                <w:rFonts w:ascii="Calibri" w:eastAsia="Calibri" w:hAnsi="Calibri" w:cs="Calibri"/>
                <w:sz w:val="22"/>
                <w:szCs w:val="22"/>
              </w:rPr>
              <w:t xml:space="preserve">1/CP.21 </w:t>
            </w:r>
            <w:r w:rsidRPr="00BA3FDE">
              <w:rPr>
                <w:rFonts w:ascii="Calibri" w:eastAsia="Calibri" w:hAnsi="Calibri" w:cs="Calibri"/>
                <w:sz w:val="22"/>
                <w:szCs w:val="22"/>
              </w:rPr>
              <w:lastRenderedPageBreak/>
              <w:t>para.61)</w:t>
            </w:r>
          </w:p>
        </w:tc>
        <w:tc>
          <w:tcPr>
            <w:tcW w:w="3686" w:type="dxa"/>
            <w:shd w:val="clear" w:color="auto" w:fill="auto"/>
            <w:tcMar>
              <w:left w:w="108" w:type="dxa"/>
              <w:right w:w="108" w:type="dxa"/>
            </w:tcMar>
          </w:tcPr>
          <w:p w14:paraId="4C3F31DA" w14:textId="0F77543E" w:rsidR="000D2873" w:rsidRPr="00BA3FDE" w:rsidRDefault="00C55104">
            <w:pPr>
              <w:widowControl w:val="0"/>
              <w:rPr>
                <w:rFonts w:ascii="Calibri" w:eastAsia="Calibri" w:hAnsi="Calibri" w:cs="Calibri"/>
                <w:sz w:val="22"/>
                <w:szCs w:val="22"/>
              </w:rPr>
            </w:pPr>
            <w:r>
              <w:rPr>
                <w:rFonts w:ascii="Calibri" w:eastAsia="Calibri" w:hAnsi="Calibri" w:cs="Calibri"/>
                <w:sz w:val="22"/>
                <w:szCs w:val="22"/>
              </w:rPr>
              <w:lastRenderedPageBreak/>
              <w:t xml:space="preserve">This </w:t>
            </w:r>
            <w:r w:rsidR="005A5F1A">
              <w:rPr>
                <w:rFonts w:ascii="Calibri" w:eastAsia="Calibri" w:hAnsi="Calibri" w:cs="Calibri"/>
                <w:sz w:val="22"/>
                <w:szCs w:val="22"/>
              </w:rPr>
              <w:t xml:space="preserve">guidance </w:t>
            </w:r>
            <w:r>
              <w:rPr>
                <w:rFonts w:ascii="Calibri" w:eastAsia="Calibri" w:hAnsi="Calibri" w:cs="Calibri"/>
                <w:sz w:val="22"/>
                <w:szCs w:val="22"/>
              </w:rPr>
              <w:t>is to be provided by the CMA</w:t>
            </w:r>
            <w:r w:rsidR="005A5F1A">
              <w:rPr>
                <w:rFonts w:ascii="Calibri" w:eastAsia="Calibri" w:hAnsi="Calibri" w:cs="Calibri"/>
                <w:sz w:val="22"/>
                <w:szCs w:val="22"/>
              </w:rPr>
              <w:t>. There is n</w:t>
            </w:r>
            <w:r w:rsidR="005A5F1A" w:rsidRPr="00BA3FDE">
              <w:rPr>
                <w:rFonts w:ascii="Calibri" w:eastAsia="Calibri" w:hAnsi="Calibri" w:cs="Calibri"/>
                <w:sz w:val="22"/>
                <w:szCs w:val="22"/>
              </w:rPr>
              <w:t xml:space="preserve">o </w:t>
            </w:r>
            <w:r w:rsidR="000D2873" w:rsidRPr="00BA3FDE">
              <w:rPr>
                <w:rFonts w:ascii="Calibri" w:eastAsia="Calibri" w:hAnsi="Calibri" w:cs="Calibri"/>
                <w:sz w:val="22"/>
                <w:szCs w:val="22"/>
              </w:rPr>
              <w:t>guidance yet but the Paris decision does not specify a timeframe</w:t>
            </w:r>
            <w:r w:rsidR="00FB6B80">
              <w:rPr>
                <w:rFonts w:ascii="Calibri" w:eastAsia="Calibri" w:hAnsi="Calibri" w:cs="Calibri"/>
                <w:sz w:val="22"/>
                <w:szCs w:val="22"/>
              </w:rPr>
              <w:t>.</w:t>
            </w:r>
          </w:p>
        </w:tc>
        <w:tc>
          <w:tcPr>
            <w:tcW w:w="3875" w:type="dxa"/>
            <w:tcMar>
              <w:left w:w="108" w:type="dxa"/>
              <w:right w:w="108" w:type="dxa"/>
            </w:tcMar>
          </w:tcPr>
          <w:p w14:paraId="2F684466" w14:textId="06794D12" w:rsidR="000D2873" w:rsidRPr="00BA3FDE" w:rsidRDefault="000D2873">
            <w:pPr>
              <w:widowControl w:val="0"/>
              <w:rPr>
                <w:rFonts w:ascii="Calibri" w:eastAsia="Calibri" w:hAnsi="Calibri" w:cs="Calibri"/>
                <w:sz w:val="22"/>
                <w:szCs w:val="22"/>
              </w:rPr>
            </w:pPr>
          </w:p>
        </w:tc>
      </w:tr>
      <w:tr w:rsidR="000D2873" w14:paraId="7477D8DF" w14:textId="77777777">
        <w:trPr>
          <w:trHeight w:val="20"/>
        </w:trPr>
        <w:tc>
          <w:tcPr>
            <w:tcW w:w="13940" w:type="dxa"/>
            <w:gridSpan w:val="4"/>
            <w:shd w:val="clear" w:color="auto" w:fill="D9D9D9"/>
          </w:tcPr>
          <w:p w14:paraId="0EF552D8" w14:textId="77777777" w:rsidR="000D2873" w:rsidRPr="00BA3FDE" w:rsidRDefault="000D2873">
            <w:pPr>
              <w:widowControl w:val="0"/>
              <w:rPr>
                <w:rFonts w:ascii="Calibri" w:eastAsia="Calibri" w:hAnsi="Calibri" w:cs="Calibri"/>
                <w:sz w:val="22"/>
                <w:szCs w:val="22"/>
              </w:rPr>
            </w:pPr>
            <w:r w:rsidRPr="00BA3FDE">
              <w:rPr>
                <w:rFonts w:ascii="Calibri" w:eastAsia="Calibri" w:hAnsi="Calibri" w:cs="Calibri"/>
                <w:sz w:val="22"/>
                <w:szCs w:val="22"/>
              </w:rPr>
              <w:lastRenderedPageBreak/>
              <w:t>Technology development and transfer</w:t>
            </w:r>
          </w:p>
        </w:tc>
      </w:tr>
      <w:tr w:rsidR="000D2873" w14:paraId="113FE516" w14:textId="77777777">
        <w:trPr>
          <w:trHeight w:val="20"/>
        </w:trPr>
        <w:tc>
          <w:tcPr>
            <w:tcW w:w="2694" w:type="dxa"/>
            <w:vMerge w:val="restart"/>
          </w:tcPr>
          <w:p w14:paraId="34C7C9E4" w14:textId="366C2279" w:rsidR="000D2873" w:rsidRDefault="00AB4F8E">
            <w:pPr>
              <w:widowControl w:val="0"/>
              <w:rPr>
                <w:rFonts w:ascii="Calibri" w:eastAsia="Calibri" w:hAnsi="Calibri" w:cs="Calibri"/>
              </w:rPr>
            </w:pPr>
            <w:r>
              <w:rPr>
                <w:rFonts w:ascii="Calibri" w:eastAsia="Calibri" w:hAnsi="Calibri" w:cs="Calibri"/>
                <w:sz w:val="22"/>
                <w:szCs w:val="22"/>
              </w:rPr>
              <w:t xml:space="preserve">PA </w:t>
            </w:r>
            <w:r w:rsidR="000D2873">
              <w:rPr>
                <w:rFonts w:ascii="Calibri" w:eastAsia="Calibri" w:hAnsi="Calibri" w:cs="Calibri"/>
                <w:sz w:val="22"/>
                <w:szCs w:val="22"/>
              </w:rPr>
              <w:t>Art.10 establishes a technology framework to provide guidance to the existing Technology Mechanism on enhanced technology development and transfer for improving climate resilience and reducing emissions</w:t>
            </w:r>
          </w:p>
        </w:tc>
        <w:tc>
          <w:tcPr>
            <w:tcW w:w="3685" w:type="dxa"/>
            <w:tcMar>
              <w:left w:w="108" w:type="dxa"/>
              <w:right w:w="108" w:type="dxa"/>
            </w:tcMar>
          </w:tcPr>
          <w:p w14:paraId="6F98F270" w14:textId="374C6610" w:rsidR="000D2873" w:rsidRPr="00BA3FDE" w:rsidRDefault="000D2873">
            <w:pPr>
              <w:widowControl w:val="0"/>
              <w:rPr>
                <w:rFonts w:ascii="Calibri" w:eastAsia="Calibri" w:hAnsi="Calibri" w:cs="Calibri"/>
                <w:sz w:val="22"/>
                <w:szCs w:val="22"/>
              </w:rPr>
            </w:pPr>
            <w:r w:rsidRPr="00BA3FDE">
              <w:rPr>
                <w:rFonts w:ascii="Calibri" w:eastAsia="Calibri" w:hAnsi="Calibri" w:cs="Calibri"/>
                <w:sz w:val="22"/>
                <w:szCs w:val="22"/>
              </w:rPr>
              <w:t>Elaborate the technology framework of the Agreement (1/CP.21 para.67)</w:t>
            </w:r>
            <w:r w:rsidR="005B7FF5">
              <w:rPr>
                <w:rFonts w:ascii="Calibri" w:eastAsia="Calibri" w:hAnsi="Calibri" w:cs="Calibri"/>
                <w:sz w:val="22"/>
                <w:szCs w:val="22"/>
              </w:rPr>
              <w:t xml:space="preserve"> at CMA1 (Katowice, 2018)</w:t>
            </w:r>
          </w:p>
        </w:tc>
        <w:tc>
          <w:tcPr>
            <w:tcW w:w="3686" w:type="dxa"/>
            <w:tcMar>
              <w:left w:w="108" w:type="dxa"/>
              <w:right w:w="108" w:type="dxa"/>
            </w:tcMar>
          </w:tcPr>
          <w:p w14:paraId="59999EE2" w14:textId="5655306E" w:rsidR="000D2873" w:rsidRPr="00BA3FDE" w:rsidRDefault="000D2873">
            <w:pPr>
              <w:widowControl w:val="0"/>
              <w:rPr>
                <w:rFonts w:ascii="Calibri" w:eastAsia="Calibri" w:hAnsi="Calibri" w:cs="Calibri"/>
                <w:sz w:val="22"/>
                <w:szCs w:val="22"/>
              </w:rPr>
            </w:pPr>
            <w:r w:rsidRPr="00BA3FDE">
              <w:rPr>
                <w:rFonts w:ascii="Calibri" w:eastAsia="Calibri" w:hAnsi="Calibri" w:cs="Calibri"/>
                <w:sz w:val="22"/>
                <w:szCs w:val="22"/>
              </w:rPr>
              <w:t xml:space="preserve">Agreed principles and key themes of the framework to be implemented by Technology Executive Committee (TEC) and Climate Technology Centre and Network (CTCN) (the Mechanism’s 2 bodies) under </w:t>
            </w:r>
            <w:r w:rsidR="005B7FF5">
              <w:rPr>
                <w:rFonts w:ascii="Calibri" w:eastAsia="Calibri" w:hAnsi="Calibri" w:cs="Calibri"/>
                <w:sz w:val="22"/>
                <w:szCs w:val="22"/>
              </w:rPr>
              <w:t xml:space="preserve">the authority and </w:t>
            </w:r>
            <w:r w:rsidRPr="00BA3FDE">
              <w:rPr>
                <w:rFonts w:ascii="Calibri" w:eastAsia="Calibri" w:hAnsi="Calibri" w:cs="Calibri"/>
                <w:sz w:val="22"/>
                <w:szCs w:val="22"/>
              </w:rPr>
              <w:t>guidance of the CMA (15/CMA.1, paras 1 and 2)</w:t>
            </w:r>
          </w:p>
        </w:tc>
        <w:tc>
          <w:tcPr>
            <w:tcW w:w="3875" w:type="dxa"/>
            <w:tcMar>
              <w:left w:w="108" w:type="dxa"/>
              <w:right w:w="108" w:type="dxa"/>
            </w:tcMar>
          </w:tcPr>
          <w:p w14:paraId="75712907" w14:textId="4EB7C49C" w:rsidR="000D2873" w:rsidRPr="00BA3FDE" w:rsidRDefault="003D1382" w:rsidP="00474A30">
            <w:pPr>
              <w:widowControl w:val="0"/>
              <w:rPr>
                <w:rFonts w:ascii="Calibri" w:eastAsia="Calibri" w:hAnsi="Calibri" w:cs="Calibri"/>
                <w:sz w:val="22"/>
                <w:szCs w:val="22"/>
              </w:rPr>
            </w:pPr>
            <w:r>
              <w:rPr>
                <w:rFonts w:ascii="Calibri" w:eastAsia="Calibri" w:hAnsi="Calibri" w:cs="Calibri"/>
                <w:sz w:val="22"/>
                <w:szCs w:val="22"/>
              </w:rPr>
              <w:t xml:space="preserve">Identify and record </w:t>
            </w:r>
            <w:r w:rsidR="008A0CAC" w:rsidRPr="008A0CAC">
              <w:rPr>
                <w:rFonts w:ascii="Calibri" w:eastAsia="Calibri" w:hAnsi="Calibri" w:cs="Calibri"/>
                <w:sz w:val="22"/>
                <w:szCs w:val="22"/>
              </w:rPr>
              <w:t>technology requirements to develop and implement NDCs, national adaptation plans and other cli</w:t>
            </w:r>
            <w:r>
              <w:rPr>
                <w:rFonts w:ascii="Calibri" w:eastAsia="Calibri" w:hAnsi="Calibri" w:cs="Calibri"/>
                <w:sz w:val="22"/>
                <w:szCs w:val="22"/>
              </w:rPr>
              <w:t>mate-related policies, program</w:t>
            </w:r>
            <w:r w:rsidR="008A0CAC" w:rsidRPr="008A0CAC">
              <w:rPr>
                <w:rFonts w:ascii="Calibri" w:eastAsia="Calibri" w:hAnsi="Calibri" w:cs="Calibri"/>
                <w:sz w:val="22"/>
                <w:szCs w:val="22"/>
              </w:rPr>
              <w:t>s an</w:t>
            </w:r>
            <w:r w:rsidR="00C77327">
              <w:rPr>
                <w:rFonts w:ascii="Calibri" w:eastAsia="Calibri" w:hAnsi="Calibri" w:cs="Calibri"/>
                <w:sz w:val="22"/>
                <w:szCs w:val="22"/>
              </w:rPr>
              <w:t>d projects</w:t>
            </w:r>
            <w:r>
              <w:rPr>
                <w:rFonts w:ascii="Calibri" w:eastAsia="Calibri" w:hAnsi="Calibri" w:cs="Calibri"/>
                <w:sz w:val="22"/>
                <w:szCs w:val="22"/>
              </w:rPr>
              <w:t>.</w:t>
            </w:r>
          </w:p>
        </w:tc>
      </w:tr>
      <w:tr w:rsidR="000D2873" w14:paraId="5BA88A61" w14:textId="77777777">
        <w:trPr>
          <w:trHeight w:val="20"/>
        </w:trPr>
        <w:tc>
          <w:tcPr>
            <w:tcW w:w="2694" w:type="dxa"/>
            <w:vMerge/>
          </w:tcPr>
          <w:p w14:paraId="5B443410" w14:textId="33C0BC47" w:rsidR="000D2873" w:rsidRDefault="000D2873">
            <w:pPr>
              <w:widowControl w:val="0"/>
              <w:pBdr>
                <w:top w:val="nil"/>
                <w:left w:val="nil"/>
                <w:bottom w:val="nil"/>
                <w:right w:val="nil"/>
                <w:between w:val="nil"/>
              </w:pBdr>
              <w:spacing w:line="276" w:lineRule="auto"/>
              <w:rPr>
                <w:rFonts w:ascii="Calibri" w:eastAsia="Calibri" w:hAnsi="Calibri" w:cs="Calibri"/>
              </w:rPr>
            </w:pPr>
          </w:p>
        </w:tc>
        <w:tc>
          <w:tcPr>
            <w:tcW w:w="3685" w:type="dxa"/>
            <w:tcMar>
              <w:left w:w="108" w:type="dxa"/>
              <w:right w:w="108" w:type="dxa"/>
            </w:tcMar>
          </w:tcPr>
          <w:p w14:paraId="628E370E" w14:textId="04EDF262" w:rsidR="000D2873" w:rsidRPr="00BA3FDE" w:rsidRDefault="000D2873" w:rsidP="009F778C">
            <w:pPr>
              <w:widowControl w:val="0"/>
              <w:rPr>
                <w:rFonts w:ascii="Calibri" w:eastAsia="Calibri" w:hAnsi="Calibri" w:cs="Calibri"/>
                <w:sz w:val="22"/>
                <w:szCs w:val="22"/>
              </w:rPr>
            </w:pPr>
            <w:r w:rsidRPr="00BA3FDE">
              <w:rPr>
                <w:rFonts w:ascii="Calibri" w:eastAsia="Calibri" w:hAnsi="Calibri" w:cs="Calibri"/>
                <w:sz w:val="22"/>
                <w:szCs w:val="22"/>
              </w:rPr>
              <w:t>Elaborate the scope and modalities for the periodic assessment of the effectiveness of and the adequacy of the support provided to the Technology Mechanism in supporting the implementation of the PA (</w:t>
            </w:r>
            <w:r w:rsidR="005B7FF5">
              <w:rPr>
                <w:rFonts w:ascii="Calibri" w:eastAsia="Calibri" w:hAnsi="Calibri" w:cs="Calibri"/>
                <w:sz w:val="22"/>
                <w:szCs w:val="22"/>
              </w:rPr>
              <w:t xml:space="preserve">1/CP.21 </w:t>
            </w:r>
            <w:r w:rsidRPr="00BA3FDE">
              <w:rPr>
                <w:rFonts w:ascii="Calibri" w:eastAsia="Calibri" w:hAnsi="Calibri" w:cs="Calibri"/>
                <w:sz w:val="22"/>
                <w:szCs w:val="22"/>
              </w:rPr>
              <w:t>para.69)</w:t>
            </w:r>
          </w:p>
        </w:tc>
        <w:tc>
          <w:tcPr>
            <w:tcW w:w="3686" w:type="dxa"/>
            <w:tcMar>
              <w:left w:w="108" w:type="dxa"/>
              <w:right w:w="108" w:type="dxa"/>
            </w:tcMar>
          </w:tcPr>
          <w:p w14:paraId="04E30DD9" w14:textId="26F0C070" w:rsidR="000D2873" w:rsidRPr="00BA3FDE" w:rsidRDefault="000D2873">
            <w:pPr>
              <w:widowControl w:val="0"/>
              <w:rPr>
                <w:rFonts w:ascii="Calibri" w:eastAsia="Calibri" w:hAnsi="Calibri" w:cs="Calibri"/>
                <w:sz w:val="22"/>
                <w:szCs w:val="22"/>
              </w:rPr>
            </w:pPr>
            <w:r w:rsidRPr="00BA3FDE">
              <w:rPr>
                <w:rFonts w:ascii="Calibri" w:eastAsia="Calibri" w:hAnsi="Calibri" w:cs="Calibri"/>
                <w:sz w:val="22"/>
                <w:szCs w:val="22"/>
              </w:rPr>
              <w:t>Adopted scope of and modalities for periodic assessment; 1</w:t>
            </w:r>
            <w:r w:rsidRPr="00BA3FDE">
              <w:rPr>
                <w:rFonts w:ascii="Calibri" w:eastAsia="Calibri" w:hAnsi="Calibri" w:cs="Calibri"/>
                <w:sz w:val="22"/>
                <w:szCs w:val="22"/>
                <w:vertAlign w:val="superscript"/>
              </w:rPr>
              <w:t>st</w:t>
            </w:r>
            <w:r w:rsidRPr="00BA3FDE">
              <w:rPr>
                <w:rFonts w:ascii="Calibri" w:eastAsia="Calibri" w:hAnsi="Calibri" w:cs="Calibri"/>
                <w:sz w:val="22"/>
                <w:szCs w:val="22"/>
              </w:rPr>
              <w:t xml:space="preserve"> assessment to be initiated at CMA4 in 2021 with a view to completing it at CMA5 in 2022 (16/CMA.1, paras 1 and 3)</w:t>
            </w:r>
          </w:p>
        </w:tc>
        <w:tc>
          <w:tcPr>
            <w:tcW w:w="3875" w:type="dxa"/>
            <w:tcMar>
              <w:left w:w="108" w:type="dxa"/>
              <w:right w:w="108" w:type="dxa"/>
            </w:tcMar>
          </w:tcPr>
          <w:p w14:paraId="1596F7AE" w14:textId="1F7322A9" w:rsidR="000D2873" w:rsidRPr="00BA3FDE" w:rsidRDefault="008A0CAC" w:rsidP="00FB6B80">
            <w:pPr>
              <w:widowControl w:val="0"/>
              <w:rPr>
                <w:rFonts w:ascii="Calibri" w:eastAsia="Calibri" w:hAnsi="Calibri" w:cs="Calibri"/>
                <w:sz w:val="22"/>
                <w:szCs w:val="22"/>
              </w:rPr>
            </w:pPr>
            <w:r w:rsidRPr="008A0CAC">
              <w:rPr>
                <w:rFonts w:ascii="Calibri" w:eastAsia="Calibri" w:hAnsi="Calibri" w:cs="Calibri"/>
                <w:sz w:val="22"/>
                <w:szCs w:val="22"/>
              </w:rPr>
              <w:t xml:space="preserve">Plans and programs put in place based on </w:t>
            </w:r>
            <w:r w:rsidR="005B7FF5">
              <w:rPr>
                <w:rFonts w:ascii="Calibri" w:eastAsia="Calibri" w:hAnsi="Calibri" w:cs="Calibri"/>
                <w:sz w:val="22"/>
                <w:szCs w:val="22"/>
              </w:rPr>
              <w:t>technology needs assessments (</w:t>
            </w:r>
            <w:r w:rsidRPr="008A0CAC">
              <w:rPr>
                <w:rFonts w:ascii="Calibri" w:eastAsia="Calibri" w:hAnsi="Calibri" w:cs="Calibri"/>
                <w:sz w:val="22"/>
                <w:szCs w:val="22"/>
              </w:rPr>
              <w:t>TNAs</w:t>
            </w:r>
            <w:r w:rsidR="005B7FF5">
              <w:rPr>
                <w:rFonts w:ascii="Calibri" w:eastAsia="Calibri" w:hAnsi="Calibri" w:cs="Calibri"/>
                <w:sz w:val="22"/>
                <w:szCs w:val="22"/>
              </w:rPr>
              <w:t>)</w:t>
            </w:r>
            <w:r w:rsidRPr="008A0CAC">
              <w:rPr>
                <w:rFonts w:ascii="Calibri" w:eastAsia="Calibri" w:hAnsi="Calibri" w:cs="Calibri"/>
                <w:sz w:val="22"/>
                <w:szCs w:val="22"/>
              </w:rPr>
              <w:t xml:space="preserve"> and updates as appropriate; </w:t>
            </w:r>
            <w:r w:rsidR="00FB6B80">
              <w:rPr>
                <w:rFonts w:ascii="Calibri" w:eastAsia="Calibri" w:hAnsi="Calibri" w:cs="Calibri"/>
                <w:sz w:val="22"/>
                <w:szCs w:val="22"/>
              </w:rPr>
              <w:t xml:space="preserve">identify </w:t>
            </w:r>
            <w:r w:rsidRPr="008A0CAC">
              <w:rPr>
                <w:rFonts w:ascii="Calibri" w:eastAsia="Calibri" w:hAnsi="Calibri" w:cs="Calibri"/>
                <w:sz w:val="22"/>
                <w:szCs w:val="22"/>
              </w:rPr>
              <w:t>technology requirements to develop and implement NDCs, national adaptation plans and other climate-related policies, program</w:t>
            </w:r>
            <w:r w:rsidR="00FB6B80">
              <w:rPr>
                <w:rFonts w:ascii="Calibri" w:eastAsia="Calibri" w:hAnsi="Calibri" w:cs="Calibri"/>
                <w:sz w:val="22"/>
                <w:szCs w:val="22"/>
              </w:rPr>
              <w:t>s and projects;</w:t>
            </w:r>
            <w:r w:rsidRPr="008A0CAC">
              <w:rPr>
                <w:rFonts w:ascii="Calibri" w:eastAsia="Calibri" w:hAnsi="Calibri" w:cs="Calibri"/>
                <w:sz w:val="22"/>
                <w:szCs w:val="22"/>
              </w:rPr>
              <w:t xml:space="preserve"> submit biennial update reports under the transparency framework</w:t>
            </w:r>
          </w:p>
        </w:tc>
      </w:tr>
      <w:tr w:rsidR="000D2873" w14:paraId="5F194B60" w14:textId="77777777" w:rsidTr="00BA3FDE">
        <w:trPr>
          <w:trHeight w:val="297"/>
        </w:trPr>
        <w:tc>
          <w:tcPr>
            <w:tcW w:w="13940" w:type="dxa"/>
            <w:gridSpan w:val="4"/>
            <w:shd w:val="clear" w:color="auto" w:fill="D9D9D9"/>
          </w:tcPr>
          <w:p w14:paraId="6BD17F9B" w14:textId="77777777" w:rsidR="000D2873" w:rsidRPr="00BA3FDE" w:rsidRDefault="000D2873">
            <w:pPr>
              <w:widowControl w:val="0"/>
              <w:rPr>
                <w:rFonts w:ascii="Calibri" w:eastAsia="Calibri" w:hAnsi="Calibri" w:cs="Calibri"/>
                <w:sz w:val="22"/>
                <w:szCs w:val="22"/>
              </w:rPr>
            </w:pPr>
            <w:r w:rsidRPr="00BA3FDE">
              <w:rPr>
                <w:rFonts w:ascii="Calibri" w:eastAsia="Calibri" w:hAnsi="Calibri" w:cs="Calibri"/>
                <w:sz w:val="22"/>
                <w:szCs w:val="22"/>
              </w:rPr>
              <w:t>Capacity-building</w:t>
            </w:r>
          </w:p>
        </w:tc>
      </w:tr>
      <w:tr w:rsidR="000D2873" w14:paraId="7083534A" w14:textId="77777777" w:rsidTr="000C0009">
        <w:trPr>
          <w:trHeight w:val="20"/>
        </w:trPr>
        <w:tc>
          <w:tcPr>
            <w:tcW w:w="2694" w:type="dxa"/>
            <w:vMerge w:val="restart"/>
          </w:tcPr>
          <w:p w14:paraId="686D9BA2" w14:textId="59DBACA3" w:rsidR="000D2873" w:rsidRDefault="00AB4F8E" w:rsidP="000C0009">
            <w:pPr>
              <w:widowControl w:val="0"/>
              <w:rPr>
                <w:rFonts w:ascii="Calibri" w:eastAsia="Calibri" w:hAnsi="Calibri" w:cs="Calibri"/>
              </w:rPr>
            </w:pPr>
            <w:r>
              <w:rPr>
                <w:rFonts w:ascii="Calibri" w:eastAsia="Calibri" w:hAnsi="Calibri" w:cs="Calibri"/>
                <w:sz w:val="22"/>
                <w:szCs w:val="22"/>
              </w:rPr>
              <w:t xml:space="preserve">PA </w:t>
            </w:r>
            <w:r w:rsidR="000D2873">
              <w:rPr>
                <w:rFonts w:ascii="Calibri" w:eastAsia="Calibri" w:hAnsi="Calibri" w:cs="Calibri"/>
                <w:sz w:val="22"/>
                <w:szCs w:val="22"/>
              </w:rPr>
              <w:t>Art.11 underlines the need for capacity</w:t>
            </w:r>
            <w:r>
              <w:rPr>
                <w:rFonts w:ascii="Calibri" w:eastAsia="Calibri" w:hAnsi="Calibri" w:cs="Calibri"/>
                <w:sz w:val="22"/>
                <w:szCs w:val="22"/>
              </w:rPr>
              <w:t>-</w:t>
            </w:r>
            <w:r w:rsidR="000D2873">
              <w:rPr>
                <w:rFonts w:ascii="Calibri" w:eastAsia="Calibri" w:hAnsi="Calibri" w:cs="Calibri"/>
                <w:sz w:val="22"/>
                <w:szCs w:val="22"/>
              </w:rPr>
              <w:t xml:space="preserve">building in developing countries </w:t>
            </w:r>
          </w:p>
        </w:tc>
        <w:tc>
          <w:tcPr>
            <w:tcW w:w="3685" w:type="dxa"/>
            <w:tcMar>
              <w:left w:w="108" w:type="dxa"/>
              <w:right w:w="108" w:type="dxa"/>
            </w:tcMar>
          </w:tcPr>
          <w:p w14:paraId="4FF8760F" w14:textId="0A34CE1D" w:rsidR="000D2873" w:rsidRPr="00BA3FDE" w:rsidRDefault="000D2873" w:rsidP="00325B5C">
            <w:pPr>
              <w:widowControl w:val="0"/>
              <w:rPr>
                <w:rFonts w:ascii="Calibri" w:eastAsia="Calibri" w:hAnsi="Calibri" w:cs="Calibri"/>
                <w:sz w:val="22"/>
                <w:szCs w:val="22"/>
              </w:rPr>
            </w:pPr>
            <w:r w:rsidRPr="00BA3FDE">
              <w:rPr>
                <w:rFonts w:ascii="Calibri" w:eastAsia="Calibri" w:hAnsi="Calibri" w:cs="Calibri"/>
                <w:sz w:val="22"/>
                <w:szCs w:val="22"/>
              </w:rPr>
              <w:t>To review, consider and adopt a decision on the initial institutional arrangements for capacity-building (</w:t>
            </w:r>
            <w:r w:rsidR="005B7FF5">
              <w:rPr>
                <w:rFonts w:ascii="Calibri" w:eastAsia="Calibri" w:hAnsi="Calibri" w:cs="Calibri"/>
                <w:sz w:val="22"/>
                <w:szCs w:val="22"/>
              </w:rPr>
              <w:t xml:space="preserve">PA </w:t>
            </w:r>
            <w:r w:rsidRPr="00BA3FDE">
              <w:rPr>
                <w:rFonts w:ascii="Calibri" w:eastAsia="Calibri" w:hAnsi="Calibri" w:cs="Calibri"/>
                <w:sz w:val="22"/>
                <w:szCs w:val="22"/>
              </w:rPr>
              <w:t>Art.</w:t>
            </w:r>
            <w:r w:rsidR="005B7FF5">
              <w:rPr>
                <w:rFonts w:ascii="Calibri" w:eastAsia="Calibri" w:hAnsi="Calibri" w:cs="Calibri"/>
                <w:sz w:val="22"/>
                <w:szCs w:val="22"/>
              </w:rPr>
              <w:t xml:space="preserve"> </w:t>
            </w:r>
            <w:r w:rsidRPr="00BA3FDE">
              <w:rPr>
                <w:rFonts w:ascii="Calibri" w:eastAsia="Calibri" w:hAnsi="Calibri" w:cs="Calibri"/>
                <w:sz w:val="22"/>
                <w:szCs w:val="22"/>
              </w:rPr>
              <w:t>11.5) at CMA1</w:t>
            </w:r>
            <w:r w:rsidR="005B7FF5">
              <w:rPr>
                <w:rFonts w:ascii="Calibri" w:eastAsia="Calibri" w:hAnsi="Calibri" w:cs="Calibri"/>
                <w:sz w:val="22"/>
                <w:szCs w:val="22"/>
              </w:rPr>
              <w:t xml:space="preserve"> (Katowice, 2018)</w:t>
            </w:r>
          </w:p>
        </w:tc>
        <w:tc>
          <w:tcPr>
            <w:tcW w:w="3686" w:type="dxa"/>
            <w:shd w:val="clear" w:color="auto" w:fill="auto"/>
            <w:tcMar>
              <w:left w:w="108" w:type="dxa"/>
              <w:right w:w="108" w:type="dxa"/>
            </w:tcMar>
          </w:tcPr>
          <w:p w14:paraId="09D5FFFC" w14:textId="120F8B80" w:rsidR="000D2873" w:rsidRPr="00BA3FDE" w:rsidRDefault="000D2873" w:rsidP="000C0009">
            <w:pPr>
              <w:widowControl w:val="0"/>
              <w:rPr>
                <w:rFonts w:ascii="Calibri" w:eastAsia="Calibri" w:hAnsi="Calibri" w:cs="Calibri"/>
                <w:sz w:val="22"/>
                <w:szCs w:val="22"/>
              </w:rPr>
            </w:pPr>
            <w:r w:rsidRPr="00BA3FDE">
              <w:rPr>
                <w:rFonts w:ascii="Calibri" w:eastAsia="Calibri" w:hAnsi="Calibri" w:cs="Calibri"/>
                <w:sz w:val="22"/>
                <w:szCs w:val="22"/>
              </w:rPr>
              <w:t>No</w:t>
            </w:r>
            <w:r w:rsidR="000C0009" w:rsidRPr="00BA3FDE">
              <w:rPr>
                <w:rFonts w:ascii="Calibri" w:eastAsia="Calibri" w:hAnsi="Calibri" w:cs="Calibri"/>
                <w:sz w:val="22"/>
                <w:szCs w:val="22"/>
              </w:rPr>
              <w:t xml:space="preserve">ne adopted at CMA1 - </w:t>
            </w:r>
            <w:r w:rsidR="004656F8" w:rsidRPr="00BA3FDE">
              <w:rPr>
                <w:rFonts w:ascii="Calibri" w:eastAsia="Calibri" w:hAnsi="Calibri" w:cs="Calibri"/>
                <w:sz w:val="22"/>
                <w:szCs w:val="22"/>
              </w:rPr>
              <w:t>but</w:t>
            </w:r>
            <w:r w:rsidR="000C0009" w:rsidRPr="00BA3FDE">
              <w:rPr>
                <w:rFonts w:ascii="Calibri" w:eastAsia="Calibri" w:hAnsi="Calibri" w:cs="Calibri"/>
                <w:sz w:val="22"/>
                <w:szCs w:val="22"/>
              </w:rPr>
              <w:t xml:space="preserve"> the Paris Committee on Capacity-building (PCCB) was established in 2015 and has commenced work</w:t>
            </w:r>
            <w:r w:rsidR="00FB6B80" w:rsidRPr="008A0CAC">
              <w:rPr>
                <w:rFonts w:ascii="Calibri" w:eastAsia="Calibri" w:hAnsi="Calibri" w:cs="Calibri"/>
                <w:sz w:val="22"/>
                <w:szCs w:val="22"/>
              </w:rPr>
              <w:t xml:space="preserve"> </w:t>
            </w:r>
          </w:p>
        </w:tc>
        <w:tc>
          <w:tcPr>
            <w:tcW w:w="3875" w:type="dxa"/>
            <w:tcMar>
              <w:left w:w="108" w:type="dxa"/>
              <w:right w:w="108" w:type="dxa"/>
            </w:tcMar>
          </w:tcPr>
          <w:p w14:paraId="3CA73301" w14:textId="1F0582E4" w:rsidR="003D1382" w:rsidRDefault="008A0CAC" w:rsidP="008A0CAC">
            <w:pPr>
              <w:widowControl w:val="0"/>
              <w:rPr>
                <w:rFonts w:ascii="Calibri" w:eastAsia="Calibri" w:hAnsi="Calibri" w:cs="Calibri"/>
                <w:sz w:val="22"/>
                <w:szCs w:val="22"/>
              </w:rPr>
            </w:pPr>
            <w:r w:rsidRPr="008A0CAC">
              <w:rPr>
                <w:rFonts w:ascii="Calibri" w:eastAsia="Calibri" w:hAnsi="Calibri" w:cs="Calibri"/>
                <w:sz w:val="22"/>
                <w:szCs w:val="22"/>
              </w:rPr>
              <w:t>Capacity-building needs identified and plans / programs put in place for addressing them, including the financial and other forms of support required by developing country Parties</w:t>
            </w:r>
            <w:r w:rsidR="00C77327">
              <w:rPr>
                <w:rFonts w:ascii="Calibri" w:eastAsia="Calibri" w:hAnsi="Calibri" w:cs="Calibri"/>
                <w:sz w:val="22"/>
                <w:szCs w:val="22"/>
              </w:rPr>
              <w:t>.</w:t>
            </w:r>
          </w:p>
          <w:p w14:paraId="61F7FCA8" w14:textId="77777777" w:rsidR="00FB6B80" w:rsidRDefault="00FB6B80">
            <w:pPr>
              <w:widowControl w:val="0"/>
              <w:rPr>
                <w:rFonts w:ascii="Calibri" w:eastAsia="Calibri" w:hAnsi="Calibri" w:cs="Calibri"/>
                <w:sz w:val="22"/>
                <w:szCs w:val="22"/>
              </w:rPr>
            </w:pPr>
          </w:p>
          <w:p w14:paraId="71CA148D" w14:textId="231259E6" w:rsidR="000D2873" w:rsidRPr="00BA3FDE" w:rsidRDefault="008A0CAC">
            <w:pPr>
              <w:widowControl w:val="0"/>
              <w:rPr>
                <w:rFonts w:ascii="Calibri" w:eastAsia="Calibri" w:hAnsi="Calibri" w:cs="Calibri"/>
                <w:sz w:val="22"/>
                <w:szCs w:val="22"/>
              </w:rPr>
            </w:pPr>
            <w:r w:rsidRPr="008A0CAC">
              <w:rPr>
                <w:rFonts w:ascii="Calibri" w:eastAsia="Calibri" w:hAnsi="Calibri" w:cs="Calibri"/>
                <w:sz w:val="22"/>
                <w:szCs w:val="22"/>
              </w:rPr>
              <w:t>Systems in place to track and report on capac</w:t>
            </w:r>
            <w:r w:rsidR="003D1382">
              <w:rPr>
                <w:rFonts w:ascii="Calibri" w:eastAsia="Calibri" w:hAnsi="Calibri" w:cs="Calibri"/>
                <w:sz w:val="22"/>
                <w:szCs w:val="22"/>
              </w:rPr>
              <w:t>ity-building initiatives</w:t>
            </w:r>
            <w:r w:rsidR="00FB6B80">
              <w:rPr>
                <w:rFonts w:ascii="Calibri" w:eastAsia="Calibri" w:hAnsi="Calibri" w:cs="Calibri"/>
                <w:sz w:val="22"/>
                <w:szCs w:val="22"/>
              </w:rPr>
              <w:t>.</w:t>
            </w:r>
          </w:p>
        </w:tc>
      </w:tr>
      <w:tr w:rsidR="000D2873" w14:paraId="2A1B3905" w14:textId="77777777" w:rsidTr="000C0009">
        <w:trPr>
          <w:trHeight w:val="20"/>
        </w:trPr>
        <w:tc>
          <w:tcPr>
            <w:tcW w:w="2694" w:type="dxa"/>
            <w:vMerge/>
          </w:tcPr>
          <w:p w14:paraId="791F37A3" w14:textId="77777777" w:rsidR="000D2873" w:rsidRDefault="000D2873">
            <w:pPr>
              <w:widowControl w:val="0"/>
              <w:pBdr>
                <w:top w:val="nil"/>
                <w:left w:val="nil"/>
                <w:bottom w:val="nil"/>
                <w:right w:val="nil"/>
                <w:between w:val="nil"/>
              </w:pBdr>
              <w:spacing w:line="276" w:lineRule="auto"/>
              <w:rPr>
                <w:rFonts w:ascii="Calibri" w:eastAsia="Calibri" w:hAnsi="Calibri" w:cs="Calibri"/>
                <w:sz w:val="22"/>
                <w:szCs w:val="22"/>
              </w:rPr>
            </w:pPr>
          </w:p>
        </w:tc>
        <w:tc>
          <w:tcPr>
            <w:tcW w:w="3685" w:type="dxa"/>
            <w:tcMar>
              <w:left w:w="108" w:type="dxa"/>
              <w:right w:w="108" w:type="dxa"/>
            </w:tcMar>
          </w:tcPr>
          <w:p w14:paraId="3DA66EDD" w14:textId="79675E6D" w:rsidR="000D2873" w:rsidRPr="00BA3FDE" w:rsidRDefault="000D2873" w:rsidP="00610408">
            <w:pPr>
              <w:rPr>
                <w:rFonts w:ascii="Calibri" w:eastAsia="Calibri" w:hAnsi="Calibri" w:cs="Calibri"/>
                <w:sz w:val="22"/>
                <w:szCs w:val="22"/>
              </w:rPr>
            </w:pPr>
            <w:r w:rsidRPr="00BA3FDE">
              <w:rPr>
                <w:rFonts w:ascii="Calibri" w:eastAsia="Calibri" w:hAnsi="Calibri" w:cs="Calibri"/>
                <w:sz w:val="22"/>
                <w:szCs w:val="22"/>
              </w:rPr>
              <w:t xml:space="preserve">Review progress, need for extension, effectiveness of </w:t>
            </w:r>
            <w:r w:rsidR="005B7FF5">
              <w:rPr>
                <w:rFonts w:ascii="Calibri" w:eastAsia="Calibri" w:hAnsi="Calibri" w:cs="Calibri"/>
                <w:sz w:val="22"/>
                <w:szCs w:val="22"/>
              </w:rPr>
              <w:t>PCCB</w:t>
            </w:r>
            <w:r w:rsidRPr="00BA3FDE">
              <w:rPr>
                <w:rFonts w:ascii="Calibri" w:eastAsia="Calibri" w:hAnsi="Calibri" w:cs="Calibri"/>
                <w:sz w:val="22"/>
                <w:szCs w:val="22"/>
              </w:rPr>
              <w:t xml:space="preserve"> with a view to </w:t>
            </w:r>
            <w:r w:rsidRPr="00BA3FDE">
              <w:rPr>
                <w:rFonts w:ascii="Calibri" w:eastAsia="Calibri" w:hAnsi="Calibri" w:cs="Calibri"/>
                <w:sz w:val="22"/>
                <w:szCs w:val="22"/>
              </w:rPr>
              <w:lastRenderedPageBreak/>
              <w:t>making recommendation to CMA2 at COP25 (in 2019) (</w:t>
            </w:r>
            <w:r w:rsidR="005B7FF5">
              <w:rPr>
                <w:rFonts w:ascii="Calibri" w:eastAsia="Calibri" w:hAnsi="Calibri" w:cs="Calibri"/>
                <w:sz w:val="22"/>
                <w:szCs w:val="22"/>
              </w:rPr>
              <w:t xml:space="preserve">1/CP.21 </w:t>
            </w:r>
            <w:r w:rsidRPr="00BA3FDE">
              <w:rPr>
                <w:rFonts w:ascii="Calibri" w:eastAsia="Calibri" w:hAnsi="Calibri" w:cs="Calibri"/>
                <w:sz w:val="22"/>
                <w:szCs w:val="22"/>
              </w:rPr>
              <w:t>para.81)</w:t>
            </w:r>
          </w:p>
        </w:tc>
        <w:tc>
          <w:tcPr>
            <w:tcW w:w="3686" w:type="dxa"/>
            <w:shd w:val="clear" w:color="auto" w:fill="auto"/>
            <w:tcMar>
              <w:left w:w="108" w:type="dxa"/>
              <w:right w:w="108" w:type="dxa"/>
            </w:tcMar>
          </w:tcPr>
          <w:p w14:paraId="34F7D77F" w14:textId="0D9E6CE5" w:rsidR="000D2873" w:rsidRPr="00BA3FDE" w:rsidRDefault="00FB6B80">
            <w:pPr>
              <w:widowControl w:val="0"/>
              <w:rPr>
                <w:rFonts w:ascii="Calibri" w:eastAsia="Calibri" w:hAnsi="Calibri" w:cs="Calibri"/>
                <w:sz w:val="22"/>
                <w:szCs w:val="22"/>
              </w:rPr>
            </w:pPr>
            <w:r w:rsidRPr="008A0CAC">
              <w:rPr>
                <w:rFonts w:ascii="Calibri" w:eastAsia="Calibri" w:hAnsi="Calibri" w:cs="Calibri"/>
                <w:sz w:val="22"/>
                <w:szCs w:val="22"/>
              </w:rPr>
              <w:lastRenderedPageBreak/>
              <w:t>SBI to organi</w:t>
            </w:r>
            <w:r>
              <w:rPr>
                <w:rFonts w:ascii="Calibri" w:eastAsia="Calibri" w:hAnsi="Calibri" w:cs="Calibri"/>
                <w:sz w:val="22"/>
                <w:szCs w:val="22"/>
              </w:rPr>
              <w:t>z</w:t>
            </w:r>
            <w:r w:rsidRPr="008A0CAC">
              <w:rPr>
                <w:rFonts w:ascii="Calibri" w:eastAsia="Calibri" w:hAnsi="Calibri" w:cs="Calibri"/>
                <w:sz w:val="22"/>
                <w:szCs w:val="22"/>
              </w:rPr>
              <w:t xml:space="preserve">e annual in-session meetings of the PCCB and to develop </w:t>
            </w:r>
            <w:r w:rsidRPr="008A0CAC">
              <w:rPr>
                <w:rFonts w:ascii="Calibri" w:eastAsia="Calibri" w:hAnsi="Calibri" w:cs="Calibri"/>
                <w:sz w:val="22"/>
                <w:szCs w:val="22"/>
              </w:rPr>
              <w:lastRenderedPageBreak/>
              <w:t>terms of reference for the PCCB and PCCB to prepare annual technical</w:t>
            </w:r>
            <w:r>
              <w:rPr>
                <w:rFonts w:ascii="Calibri" w:eastAsia="Calibri" w:hAnsi="Calibri" w:cs="Calibri"/>
                <w:sz w:val="22"/>
                <w:szCs w:val="22"/>
              </w:rPr>
              <w:t xml:space="preserve"> progress reports on its work.</w:t>
            </w:r>
          </w:p>
        </w:tc>
        <w:tc>
          <w:tcPr>
            <w:tcW w:w="3875" w:type="dxa"/>
            <w:tcMar>
              <w:left w:w="108" w:type="dxa"/>
              <w:right w:w="108" w:type="dxa"/>
            </w:tcMar>
          </w:tcPr>
          <w:p w14:paraId="2312FA5B" w14:textId="414F6518" w:rsidR="000D2873" w:rsidRPr="00BA3FDE" w:rsidRDefault="000D2873">
            <w:pPr>
              <w:widowControl w:val="0"/>
              <w:rPr>
                <w:rFonts w:ascii="Calibri" w:eastAsia="Calibri" w:hAnsi="Calibri" w:cs="Calibri"/>
                <w:sz w:val="22"/>
                <w:szCs w:val="22"/>
              </w:rPr>
            </w:pPr>
          </w:p>
        </w:tc>
      </w:tr>
      <w:tr w:rsidR="000D2873" w14:paraId="21CE8563" w14:textId="77777777">
        <w:trPr>
          <w:trHeight w:val="20"/>
        </w:trPr>
        <w:tc>
          <w:tcPr>
            <w:tcW w:w="13940" w:type="dxa"/>
            <w:gridSpan w:val="4"/>
            <w:shd w:val="clear" w:color="auto" w:fill="E0E0E0"/>
          </w:tcPr>
          <w:p w14:paraId="716744FD" w14:textId="77777777" w:rsidR="000D2873" w:rsidRPr="00BA3FDE" w:rsidRDefault="000D2873">
            <w:pPr>
              <w:widowControl w:val="0"/>
              <w:rPr>
                <w:rFonts w:ascii="Calibri" w:eastAsia="Calibri" w:hAnsi="Calibri" w:cs="Calibri"/>
                <w:sz w:val="22"/>
                <w:szCs w:val="22"/>
              </w:rPr>
            </w:pPr>
            <w:r w:rsidRPr="00BA3FDE">
              <w:rPr>
                <w:rFonts w:ascii="Calibri" w:eastAsia="Calibri" w:hAnsi="Calibri" w:cs="Calibri"/>
                <w:sz w:val="22"/>
                <w:szCs w:val="22"/>
              </w:rPr>
              <w:lastRenderedPageBreak/>
              <w:t xml:space="preserve">Climate change education and awareness </w:t>
            </w:r>
          </w:p>
        </w:tc>
      </w:tr>
      <w:tr w:rsidR="000D2873" w14:paraId="6D463A18" w14:textId="77777777" w:rsidTr="0034798B">
        <w:trPr>
          <w:trHeight w:val="20"/>
        </w:trPr>
        <w:tc>
          <w:tcPr>
            <w:tcW w:w="2694" w:type="dxa"/>
          </w:tcPr>
          <w:p w14:paraId="0ADFFAF7" w14:textId="30194B2B" w:rsidR="000D2873" w:rsidRDefault="00AB4F8E">
            <w:pPr>
              <w:rPr>
                <w:rFonts w:ascii="Calibri" w:eastAsia="Calibri" w:hAnsi="Calibri" w:cs="Calibri"/>
              </w:rPr>
            </w:pPr>
            <w:r>
              <w:rPr>
                <w:rFonts w:ascii="Calibri" w:eastAsia="Calibri" w:hAnsi="Calibri" w:cs="Calibri"/>
                <w:sz w:val="22"/>
                <w:szCs w:val="22"/>
              </w:rPr>
              <w:t xml:space="preserve">PA </w:t>
            </w:r>
            <w:r w:rsidR="000D2873">
              <w:rPr>
                <w:rFonts w:ascii="Calibri" w:eastAsia="Calibri" w:hAnsi="Calibri" w:cs="Calibri"/>
                <w:sz w:val="22"/>
                <w:szCs w:val="22"/>
              </w:rPr>
              <w:t xml:space="preserve">Art.12: A general commitment to cooperate in enhancing education, training, awareness and public participation </w:t>
            </w:r>
          </w:p>
        </w:tc>
        <w:tc>
          <w:tcPr>
            <w:tcW w:w="3685" w:type="dxa"/>
            <w:tcMar>
              <w:left w:w="108" w:type="dxa"/>
              <w:right w:w="108" w:type="dxa"/>
            </w:tcMar>
          </w:tcPr>
          <w:p w14:paraId="4DAB7A98" w14:textId="77777777" w:rsidR="000D2873" w:rsidRPr="00BA3FDE" w:rsidRDefault="000D2873">
            <w:pPr>
              <w:rPr>
                <w:rFonts w:ascii="Calibri" w:eastAsia="Calibri" w:hAnsi="Calibri" w:cs="Calibri"/>
                <w:sz w:val="22"/>
                <w:szCs w:val="22"/>
              </w:rPr>
            </w:pPr>
            <w:r w:rsidRPr="00BA3FDE">
              <w:rPr>
                <w:rFonts w:ascii="Calibri" w:eastAsia="Calibri" w:hAnsi="Calibri" w:cs="Calibri"/>
                <w:sz w:val="22"/>
                <w:szCs w:val="22"/>
              </w:rPr>
              <w:t>CMA1 invited to explore ways of enhancing the implementation of training, public awareness, participation and access to information (1/CP.21 para.83)</w:t>
            </w:r>
          </w:p>
        </w:tc>
        <w:tc>
          <w:tcPr>
            <w:tcW w:w="3686" w:type="dxa"/>
            <w:shd w:val="clear" w:color="auto" w:fill="auto"/>
            <w:tcMar>
              <w:left w:w="108" w:type="dxa"/>
              <w:right w:w="108" w:type="dxa"/>
            </w:tcMar>
          </w:tcPr>
          <w:p w14:paraId="468B0125" w14:textId="00A27642" w:rsidR="000D2873" w:rsidRPr="00BA3FDE" w:rsidRDefault="00C42DFB" w:rsidP="00C42DFB">
            <w:pPr>
              <w:widowControl w:val="0"/>
              <w:rPr>
                <w:rFonts w:ascii="Calibri" w:eastAsia="Calibri" w:hAnsi="Calibri" w:cs="Calibri"/>
                <w:sz w:val="22"/>
                <w:szCs w:val="22"/>
              </w:rPr>
            </w:pPr>
            <w:r w:rsidRPr="00BA3FDE">
              <w:rPr>
                <w:rFonts w:ascii="Calibri" w:eastAsia="Calibri" w:hAnsi="Calibri" w:cs="Calibri"/>
                <w:sz w:val="22"/>
                <w:szCs w:val="22"/>
              </w:rPr>
              <w:t xml:space="preserve">Action under </w:t>
            </w:r>
            <w:r w:rsidR="00ED4310">
              <w:rPr>
                <w:rFonts w:ascii="Calibri" w:eastAsia="Calibri" w:hAnsi="Calibri" w:cs="Calibri"/>
                <w:sz w:val="22"/>
                <w:szCs w:val="22"/>
              </w:rPr>
              <w:t xml:space="preserve">PA </w:t>
            </w:r>
            <w:r w:rsidRPr="00BA3FDE">
              <w:rPr>
                <w:rFonts w:ascii="Calibri" w:eastAsia="Calibri" w:hAnsi="Calibri" w:cs="Calibri"/>
                <w:sz w:val="22"/>
                <w:szCs w:val="22"/>
              </w:rPr>
              <w:t xml:space="preserve">Art.12 will </w:t>
            </w:r>
            <w:r w:rsidR="0034798B" w:rsidRPr="00BA3FDE">
              <w:rPr>
                <w:rFonts w:ascii="Calibri" w:eastAsia="Calibri" w:hAnsi="Calibri" w:cs="Calibri"/>
                <w:sz w:val="22"/>
                <w:szCs w:val="22"/>
              </w:rPr>
              <w:t xml:space="preserve">also be referred to as </w:t>
            </w:r>
            <w:r w:rsidR="000D2873" w:rsidRPr="00BA3FDE">
              <w:rPr>
                <w:rFonts w:ascii="Calibri" w:eastAsia="Calibri" w:hAnsi="Calibri" w:cs="Calibri"/>
                <w:sz w:val="22"/>
                <w:szCs w:val="22"/>
              </w:rPr>
              <w:t>“Action for Climate Empowerment”</w:t>
            </w:r>
            <w:r w:rsidR="00ED4310">
              <w:rPr>
                <w:rFonts w:ascii="Calibri" w:eastAsia="Calibri" w:hAnsi="Calibri" w:cs="Calibri"/>
                <w:sz w:val="22"/>
                <w:szCs w:val="22"/>
              </w:rPr>
              <w:t xml:space="preserve"> (ACE)</w:t>
            </w:r>
            <w:r w:rsidR="0034798B" w:rsidRPr="00BA3FDE">
              <w:rPr>
                <w:rFonts w:ascii="Calibri" w:eastAsia="Calibri" w:hAnsi="Calibri" w:cs="Calibri"/>
                <w:sz w:val="22"/>
                <w:szCs w:val="22"/>
              </w:rPr>
              <w:t xml:space="preserve"> </w:t>
            </w:r>
            <w:r w:rsidRPr="00BA3FDE">
              <w:rPr>
                <w:rFonts w:ascii="Calibri" w:eastAsia="Calibri" w:hAnsi="Calibri" w:cs="Calibri"/>
                <w:sz w:val="22"/>
                <w:szCs w:val="22"/>
              </w:rPr>
              <w:t xml:space="preserve">(17/CMA.1 para.1) </w:t>
            </w:r>
            <w:r w:rsidR="0034798B" w:rsidRPr="00BA3FDE">
              <w:rPr>
                <w:rFonts w:ascii="Calibri" w:eastAsia="Calibri" w:hAnsi="Calibri" w:cs="Calibri"/>
                <w:sz w:val="22"/>
                <w:szCs w:val="22"/>
              </w:rPr>
              <w:t>and efforts under UNFCCC</w:t>
            </w:r>
            <w:r w:rsidRPr="00BA3FDE">
              <w:rPr>
                <w:rFonts w:ascii="Calibri" w:eastAsia="Calibri" w:hAnsi="Calibri" w:cs="Calibri"/>
                <w:sz w:val="22"/>
                <w:szCs w:val="22"/>
              </w:rPr>
              <w:t xml:space="preserve"> Art.6 (education and training) </w:t>
            </w:r>
            <w:r w:rsidR="0034798B" w:rsidRPr="00BA3FDE">
              <w:rPr>
                <w:rFonts w:ascii="Calibri" w:eastAsia="Calibri" w:hAnsi="Calibri" w:cs="Calibri"/>
                <w:sz w:val="22"/>
                <w:szCs w:val="22"/>
              </w:rPr>
              <w:t xml:space="preserve">consolidated with </w:t>
            </w:r>
            <w:r w:rsidR="00ED4310">
              <w:rPr>
                <w:rFonts w:ascii="Calibri" w:eastAsia="Calibri" w:hAnsi="Calibri" w:cs="Calibri"/>
                <w:sz w:val="22"/>
                <w:szCs w:val="22"/>
              </w:rPr>
              <w:t xml:space="preserve">PA </w:t>
            </w:r>
            <w:r w:rsidR="000D2873" w:rsidRPr="00BA3FDE">
              <w:rPr>
                <w:rFonts w:ascii="Calibri" w:eastAsia="Calibri" w:hAnsi="Calibri" w:cs="Calibri"/>
                <w:sz w:val="22"/>
                <w:szCs w:val="22"/>
              </w:rPr>
              <w:t xml:space="preserve">Art.12 </w:t>
            </w:r>
            <w:r w:rsidR="0034798B" w:rsidRPr="00BA3FDE">
              <w:rPr>
                <w:rFonts w:ascii="Calibri" w:eastAsia="Calibri" w:hAnsi="Calibri" w:cs="Calibri"/>
                <w:sz w:val="22"/>
                <w:szCs w:val="22"/>
              </w:rPr>
              <w:t>implementation</w:t>
            </w:r>
            <w:r w:rsidRPr="00BA3FDE">
              <w:rPr>
                <w:rFonts w:ascii="Calibri" w:eastAsia="Calibri" w:hAnsi="Calibri" w:cs="Calibri"/>
                <w:sz w:val="22"/>
                <w:szCs w:val="22"/>
              </w:rPr>
              <w:t xml:space="preserve"> (17/CMA.1</w:t>
            </w:r>
            <w:r w:rsidR="000D2873" w:rsidRPr="00BA3FDE">
              <w:rPr>
                <w:rFonts w:ascii="Calibri" w:eastAsia="Calibri" w:hAnsi="Calibri" w:cs="Calibri"/>
                <w:sz w:val="22"/>
                <w:szCs w:val="22"/>
              </w:rPr>
              <w:t xml:space="preserve"> </w:t>
            </w:r>
            <w:r w:rsidRPr="00BA3FDE">
              <w:rPr>
                <w:rFonts w:ascii="Calibri" w:eastAsia="Calibri" w:hAnsi="Calibri" w:cs="Calibri"/>
                <w:sz w:val="22"/>
                <w:szCs w:val="22"/>
              </w:rPr>
              <w:t xml:space="preserve">paras </w:t>
            </w:r>
            <w:r w:rsidR="000D2873" w:rsidRPr="00BA3FDE">
              <w:rPr>
                <w:rFonts w:ascii="Calibri" w:eastAsia="Calibri" w:hAnsi="Calibri" w:cs="Calibri"/>
                <w:sz w:val="22"/>
                <w:szCs w:val="22"/>
              </w:rPr>
              <w:t xml:space="preserve">3, </w:t>
            </w:r>
            <w:r w:rsidRPr="00BA3FDE">
              <w:rPr>
                <w:rFonts w:ascii="Calibri" w:eastAsia="Calibri" w:hAnsi="Calibri" w:cs="Calibri"/>
                <w:sz w:val="22"/>
                <w:szCs w:val="22"/>
              </w:rPr>
              <w:t>5</w:t>
            </w:r>
            <w:r w:rsidR="00F24B99">
              <w:rPr>
                <w:rFonts w:ascii="Calibri" w:eastAsia="Calibri" w:hAnsi="Calibri" w:cs="Calibri"/>
                <w:sz w:val="22"/>
                <w:szCs w:val="22"/>
              </w:rPr>
              <w:t xml:space="preserve"> - 11</w:t>
            </w:r>
            <w:r w:rsidRPr="00BA3FDE">
              <w:rPr>
                <w:rFonts w:ascii="Calibri" w:eastAsia="Calibri" w:hAnsi="Calibri" w:cs="Calibri"/>
                <w:sz w:val="22"/>
                <w:szCs w:val="22"/>
              </w:rPr>
              <w:t>)</w:t>
            </w:r>
          </w:p>
        </w:tc>
        <w:tc>
          <w:tcPr>
            <w:tcW w:w="3875" w:type="dxa"/>
            <w:tcMar>
              <w:left w:w="108" w:type="dxa"/>
              <w:right w:w="108" w:type="dxa"/>
            </w:tcMar>
          </w:tcPr>
          <w:p w14:paraId="36E9A50E" w14:textId="353AB9F4" w:rsidR="001823B9" w:rsidRDefault="008A0CAC" w:rsidP="00C42DFB">
            <w:pPr>
              <w:widowControl w:val="0"/>
              <w:rPr>
                <w:rFonts w:ascii="Calibri" w:eastAsia="Calibri" w:hAnsi="Calibri" w:cs="Calibri"/>
                <w:sz w:val="22"/>
                <w:szCs w:val="22"/>
              </w:rPr>
            </w:pPr>
            <w:r w:rsidRPr="008A0CAC">
              <w:rPr>
                <w:rFonts w:ascii="Calibri" w:eastAsia="Calibri" w:hAnsi="Calibri" w:cs="Calibri"/>
                <w:sz w:val="22"/>
                <w:szCs w:val="22"/>
              </w:rPr>
              <w:t xml:space="preserve">Systems in place to ensure that education, training and public awareness are adequately considered in their contribution to capacity-building for addressing the reduction </w:t>
            </w:r>
            <w:r w:rsidR="001823B9">
              <w:rPr>
                <w:rFonts w:ascii="Calibri" w:eastAsia="Calibri" w:hAnsi="Calibri" w:cs="Calibri"/>
                <w:sz w:val="22"/>
                <w:szCs w:val="22"/>
              </w:rPr>
              <w:t xml:space="preserve">and control </w:t>
            </w:r>
            <w:r w:rsidRPr="008A0CAC">
              <w:rPr>
                <w:rFonts w:ascii="Calibri" w:eastAsia="Calibri" w:hAnsi="Calibri" w:cs="Calibri"/>
                <w:sz w:val="22"/>
                <w:szCs w:val="22"/>
              </w:rPr>
              <w:t>of GHG emissions as well as the adverse effects of climate change</w:t>
            </w:r>
            <w:r w:rsidR="001823B9">
              <w:rPr>
                <w:rFonts w:ascii="Calibri" w:eastAsia="Calibri" w:hAnsi="Calibri" w:cs="Calibri"/>
                <w:sz w:val="22"/>
                <w:szCs w:val="22"/>
              </w:rPr>
              <w:t>.</w:t>
            </w:r>
          </w:p>
          <w:p w14:paraId="5E4F5275" w14:textId="77777777" w:rsidR="001823B9" w:rsidRDefault="001823B9" w:rsidP="00C42DFB">
            <w:pPr>
              <w:widowControl w:val="0"/>
              <w:rPr>
                <w:rFonts w:ascii="Calibri" w:eastAsia="Calibri" w:hAnsi="Calibri" w:cs="Calibri"/>
                <w:sz w:val="22"/>
                <w:szCs w:val="22"/>
              </w:rPr>
            </w:pPr>
          </w:p>
          <w:p w14:paraId="5DB7BFCE" w14:textId="3B0EAB58" w:rsidR="000D2873" w:rsidRPr="00BA3FDE" w:rsidRDefault="00D64AEA" w:rsidP="00C42EE0">
            <w:pPr>
              <w:widowControl w:val="0"/>
              <w:rPr>
                <w:rFonts w:ascii="Calibri" w:eastAsia="Calibri" w:hAnsi="Calibri" w:cs="Calibri"/>
                <w:sz w:val="22"/>
                <w:szCs w:val="22"/>
              </w:rPr>
            </w:pPr>
            <w:r w:rsidRPr="00C42EE0">
              <w:rPr>
                <w:rFonts w:ascii="Calibri" w:eastAsia="Calibri" w:hAnsi="Calibri" w:cs="Calibri"/>
                <w:sz w:val="22"/>
                <w:szCs w:val="22"/>
              </w:rPr>
              <w:t xml:space="preserve">Consider providing </w:t>
            </w:r>
            <w:r w:rsidR="001823B9" w:rsidRPr="00C42EE0">
              <w:rPr>
                <w:rFonts w:ascii="Calibri" w:eastAsia="Calibri" w:hAnsi="Calibri" w:cs="Calibri"/>
                <w:sz w:val="22"/>
                <w:szCs w:val="22"/>
              </w:rPr>
              <w:t xml:space="preserve">input into the </w:t>
            </w:r>
            <w:r w:rsidR="008A0CAC" w:rsidRPr="00C42EE0">
              <w:rPr>
                <w:rFonts w:ascii="Calibri" w:eastAsia="Calibri" w:hAnsi="Calibri" w:cs="Calibri"/>
                <w:sz w:val="22"/>
                <w:szCs w:val="22"/>
              </w:rPr>
              <w:t xml:space="preserve">7th Dialogue on ACE in </w:t>
            </w:r>
            <w:r w:rsidRPr="00C42EE0">
              <w:rPr>
                <w:rFonts w:ascii="Calibri" w:eastAsia="Calibri" w:hAnsi="Calibri" w:cs="Calibri"/>
                <w:sz w:val="22"/>
                <w:szCs w:val="22"/>
              </w:rPr>
              <w:t xml:space="preserve">June </w:t>
            </w:r>
            <w:r w:rsidR="008A0CAC" w:rsidRPr="00C42EE0">
              <w:rPr>
                <w:rFonts w:ascii="Calibri" w:eastAsia="Calibri" w:hAnsi="Calibri" w:cs="Calibri"/>
                <w:sz w:val="22"/>
                <w:szCs w:val="22"/>
              </w:rPr>
              <w:t>2019 to advance the discussions on ways of enhancing the implementation of education, training</w:t>
            </w:r>
            <w:r w:rsidR="001823B9" w:rsidRPr="00C42EE0">
              <w:rPr>
                <w:rFonts w:ascii="Calibri" w:eastAsia="Calibri" w:hAnsi="Calibri" w:cs="Calibri"/>
                <w:sz w:val="22"/>
                <w:szCs w:val="22"/>
              </w:rPr>
              <w:t xml:space="preserve"> and </w:t>
            </w:r>
            <w:r w:rsidR="008A0CAC" w:rsidRPr="00C42EE0">
              <w:rPr>
                <w:rFonts w:ascii="Calibri" w:eastAsia="Calibri" w:hAnsi="Calibri" w:cs="Calibri"/>
                <w:sz w:val="22"/>
                <w:szCs w:val="22"/>
              </w:rPr>
              <w:t>public participation</w:t>
            </w:r>
            <w:r w:rsidR="001823B9" w:rsidRPr="00C42EE0">
              <w:rPr>
                <w:rFonts w:ascii="Calibri" w:eastAsia="Calibri" w:hAnsi="Calibri" w:cs="Calibri"/>
                <w:sz w:val="22"/>
                <w:szCs w:val="22"/>
              </w:rPr>
              <w:t xml:space="preserve"> </w:t>
            </w:r>
            <w:r w:rsidR="008A0CAC" w:rsidRPr="00C42EE0">
              <w:rPr>
                <w:rFonts w:ascii="Calibri" w:eastAsia="Calibri" w:hAnsi="Calibri" w:cs="Calibri"/>
                <w:sz w:val="22"/>
                <w:szCs w:val="22"/>
              </w:rPr>
              <w:t>and international and regional cooperation</w:t>
            </w:r>
            <w:r w:rsidR="00C42EE0">
              <w:rPr>
                <w:rFonts w:ascii="Calibri" w:eastAsia="Calibri" w:hAnsi="Calibri" w:cs="Calibri"/>
                <w:sz w:val="22"/>
                <w:szCs w:val="22"/>
              </w:rPr>
              <w:t>.</w:t>
            </w:r>
          </w:p>
        </w:tc>
      </w:tr>
      <w:tr w:rsidR="000D2873" w14:paraId="4F0DF051" w14:textId="77777777">
        <w:trPr>
          <w:trHeight w:val="20"/>
        </w:trPr>
        <w:tc>
          <w:tcPr>
            <w:tcW w:w="13940" w:type="dxa"/>
            <w:gridSpan w:val="4"/>
            <w:shd w:val="clear" w:color="auto" w:fill="D9D9D9"/>
          </w:tcPr>
          <w:p w14:paraId="3A2F9904" w14:textId="77777777" w:rsidR="000D2873" w:rsidRPr="00C15B4D" w:rsidRDefault="000D2873">
            <w:pPr>
              <w:widowControl w:val="0"/>
              <w:rPr>
                <w:rFonts w:ascii="Calibri" w:eastAsia="Calibri" w:hAnsi="Calibri" w:cs="Calibri"/>
                <w:sz w:val="22"/>
                <w:szCs w:val="22"/>
              </w:rPr>
            </w:pPr>
            <w:r w:rsidRPr="00C15B4D">
              <w:rPr>
                <w:rFonts w:ascii="Calibri" w:eastAsia="Calibri" w:hAnsi="Calibri" w:cs="Calibri"/>
                <w:sz w:val="22"/>
                <w:szCs w:val="22"/>
              </w:rPr>
              <w:t>Transparency of action and support</w:t>
            </w:r>
          </w:p>
        </w:tc>
      </w:tr>
      <w:tr w:rsidR="000D2873" w14:paraId="09971461" w14:textId="77777777">
        <w:trPr>
          <w:trHeight w:val="20"/>
        </w:trPr>
        <w:tc>
          <w:tcPr>
            <w:tcW w:w="2694" w:type="dxa"/>
          </w:tcPr>
          <w:p w14:paraId="64C9204D" w14:textId="1982C7F5" w:rsidR="000D2873" w:rsidRDefault="00AB4F8E">
            <w:pPr>
              <w:widowControl w:val="0"/>
              <w:rPr>
                <w:rFonts w:ascii="Calibri" w:eastAsia="Calibri" w:hAnsi="Calibri" w:cs="Calibri"/>
              </w:rPr>
            </w:pPr>
            <w:r>
              <w:rPr>
                <w:rFonts w:ascii="Calibri" w:eastAsia="Calibri" w:hAnsi="Calibri" w:cs="Calibri"/>
                <w:sz w:val="22"/>
                <w:szCs w:val="22"/>
              </w:rPr>
              <w:t xml:space="preserve">PA </w:t>
            </w:r>
            <w:r w:rsidR="000D2873">
              <w:rPr>
                <w:rFonts w:ascii="Calibri" w:eastAsia="Calibri" w:hAnsi="Calibri" w:cs="Calibri"/>
                <w:sz w:val="22"/>
                <w:szCs w:val="22"/>
              </w:rPr>
              <w:t xml:space="preserve">Art.13 </w:t>
            </w:r>
            <w:r w:rsidR="00ED4310">
              <w:rPr>
                <w:rFonts w:ascii="Calibri" w:eastAsia="Calibri" w:hAnsi="Calibri" w:cs="Calibri"/>
                <w:sz w:val="22"/>
                <w:szCs w:val="22"/>
              </w:rPr>
              <w:t xml:space="preserve">establishes </w:t>
            </w:r>
            <w:r w:rsidR="000D2873">
              <w:rPr>
                <w:rFonts w:ascii="Calibri" w:eastAsia="Calibri" w:hAnsi="Calibri" w:cs="Calibri"/>
                <w:sz w:val="22"/>
                <w:szCs w:val="22"/>
              </w:rPr>
              <w:t xml:space="preserve">the transparency framework through which </w:t>
            </w:r>
            <w:r w:rsidR="00ED4310">
              <w:rPr>
                <w:rFonts w:ascii="Calibri" w:eastAsia="Calibri" w:hAnsi="Calibri" w:cs="Calibri"/>
                <w:sz w:val="22"/>
                <w:szCs w:val="22"/>
              </w:rPr>
              <w:t xml:space="preserve">Parties </w:t>
            </w:r>
            <w:r w:rsidR="000D2873">
              <w:rPr>
                <w:rFonts w:ascii="Calibri" w:eastAsia="Calibri" w:hAnsi="Calibri" w:cs="Calibri"/>
                <w:sz w:val="22"/>
                <w:szCs w:val="22"/>
              </w:rPr>
              <w:t>will report on their efforts to address climate change</w:t>
            </w:r>
          </w:p>
        </w:tc>
        <w:tc>
          <w:tcPr>
            <w:tcW w:w="3685" w:type="dxa"/>
            <w:tcMar>
              <w:left w:w="108" w:type="dxa"/>
              <w:right w:w="108" w:type="dxa"/>
            </w:tcMar>
          </w:tcPr>
          <w:p w14:paraId="12E911C0" w14:textId="3B854C99" w:rsidR="000D2873" w:rsidRPr="00C15B4D" w:rsidRDefault="000D2873">
            <w:pPr>
              <w:widowControl w:val="0"/>
              <w:rPr>
                <w:rFonts w:ascii="Calibri" w:eastAsia="Calibri" w:hAnsi="Calibri" w:cs="Calibri"/>
                <w:sz w:val="22"/>
                <w:szCs w:val="22"/>
              </w:rPr>
            </w:pPr>
            <w:r w:rsidRPr="00C15B4D">
              <w:rPr>
                <w:rFonts w:ascii="Calibri" w:eastAsia="Calibri" w:hAnsi="Calibri" w:cs="Calibri"/>
                <w:sz w:val="22"/>
                <w:szCs w:val="22"/>
              </w:rPr>
              <w:t>Common modalities, procedures and guidelines (MPG</w:t>
            </w:r>
            <w:r w:rsidR="00ED4310">
              <w:rPr>
                <w:rFonts w:ascii="Calibri" w:eastAsia="Calibri" w:hAnsi="Calibri" w:cs="Calibri"/>
                <w:sz w:val="22"/>
                <w:szCs w:val="22"/>
              </w:rPr>
              <w:t>s</w:t>
            </w:r>
            <w:r w:rsidRPr="00C15B4D">
              <w:rPr>
                <w:rFonts w:ascii="Calibri" w:eastAsia="Calibri" w:hAnsi="Calibri" w:cs="Calibri"/>
                <w:sz w:val="22"/>
                <w:szCs w:val="22"/>
              </w:rPr>
              <w:t>) for the transparency of action and support (</w:t>
            </w:r>
            <w:r w:rsidR="00AB4F8E">
              <w:rPr>
                <w:rFonts w:ascii="Calibri" w:eastAsia="Calibri" w:hAnsi="Calibri" w:cs="Calibri"/>
                <w:sz w:val="22"/>
                <w:szCs w:val="22"/>
              </w:rPr>
              <w:t xml:space="preserve">PA </w:t>
            </w:r>
            <w:r w:rsidRPr="00C15B4D">
              <w:rPr>
                <w:rFonts w:ascii="Calibri" w:eastAsia="Calibri" w:hAnsi="Calibri" w:cs="Calibri"/>
                <w:sz w:val="22"/>
                <w:szCs w:val="22"/>
              </w:rPr>
              <w:t>Art.13.13), and define the year of their first and subsequent review and update at regular intervals (</w:t>
            </w:r>
            <w:r w:rsidR="00ED4310">
              <w:rPr>
                <w:rFonts w:ascii="Calibri" w:eastAsia="Calibri" w:hAnsi="Calibri" w:cs="Calibri"/>
                <w:sz w:val="22"/>
                <w:szCs w:val="22"/>
              </w:rPr>
              <w:t xml:space="preserve">1/CP.21 </w:t>
            </w:r>
            <w:r w:rsidRPr="00C15B4D">
              <w:rPr>
                <w:rFonts w:ascii="Calibri" w:eastAsia="Calibri" w:hAnsi="Calibri" w:cs="Calibri"/>
                <w:sz w:val="22"/>
                <w:szCs w:val="22"/>
              </w:rPr>
              <w:t>para.91)</w:t>
            </w:r>
          </w:p>
        </w:tc>
        <w:tc>
          <w:tcPr>
            <w:tcW w:w="3686" w:type="dxa"/>
            <w:tcMar>
              <w:left w:w="108" w:type="dxa"/>
              <w:right w:w="108" w:type="dxa"/>
            </w:tcMar>
          </w:tcPr>
          <w:p w14:paraId="21A1A286" w14:textId="77777777" w:rsidR="0050475B" w:rsidRDefault="000D2873" w:rsidP="00FA4056">
            <w:pPr>
              <w:widowControl w:val="0"/>
              <w:rPr>
                <w:rFonts w:ascii="Calibri" w:eastAsia="Calibri" w:hAnsi="Calibri" w:cs="Calibri"/>
                <w:sz w:val="22"/>
                <w:szCs w:val="22"/>
              </w:rPr>
            </w:pPr>
            <w:r w:rsidRPr="00C15B4D">
              <w:rPr>
                <w:rFonts w:ascii="Calibri" w:eastAsia="Calibri" w:hAnsi="Calibri" w:cs="Calibri"/>
                <w:sz w:val="22"/>
                <w:szCs w:val="22"/>
              </w:rPr>
              <w:t xml:space="preserve">Adopted a comprehensive set of common rules (that apply to all </w:t>
            </w:r>
            <w:r w:rsidR="00ED4310">
              <w:rPr>
                <w:rFonts w:ascii="Calibri" w:eastAsia="Calibri" w:hAnsi="Calibri" w:cs="Calibri"/>
                <w:sz w:val="22"/>
                <w:szCs w:val="22"/>
              </w:rPr>
              <w:t>P</w:t>
            </w:r>
            <w:r w:rsidR="00ED4310" w:rsidRPr="00C15B4D">
              <w:rPr>
                <w:rFonts w:ascii="Calibri" w:eastAsia="Calibri" w:hAnsi="Calibri" w:cs="Calibri"/>
                <w:sz w:val="22"/>
                <w:szCs w:val="22"/>
              </w:rPr>
              <w:t>arties</w:t>
            </w:r>
            <w:r w:rsidRPr="00C15B4D">
              <w:rPr>
                <w:rFonts w:ascii="Calibri" w:eastAsia="Calibri" w:hAnsi="Calibri" w:cs="Calibri"/>
                <w:sz w:val="22"/>
                <w:szCs w:val="22"/>
              </w:rPr>
              <w:t>) with some flexibility for developing countries that need it. 1</w:t>
            </w:r>
            <w:r w:rsidRPr="00C15B4D">
              <w:rPr>
                <w:rFonts w:ascii="Calibri" w:eastAsia="Calibri" w:hAnsi="Calibri" w:cs="Calibri"/>
                <w:sz w:val="22"/>
                <w:szCs w:val="22"/>
                <w:vertAlign w:val="superscript"/>
              </w:rPr>
              <w:t>st</w:t>
            </w:r>
            <w:r w:rsidRPr="00C15B4D">
              <w:rPr>
                <w:rFonts w:ascii="Calibri" w:eastAsia="Calibri" w:hAnsi="Calibri" w:cs="Calibri"/>
                <w:sz w:val="22"/>
                <w:szCs w:val="22"/>
              </w:rPr>
              <w:t xml:space="preserve"> biennial transparency report (BTR) and national inventory report to be submitted by 31 December 2024. LDCs and SIDs may submit information at their discretion</w:t>
            </w:r>
            <w:r w:rsidR="00B14973" w:rsidRPr="00C15B4D">
              <w:rPr>
                <w:rFonts w:ascii="Calibri" w:eastAsia="Calibri" w:hAnsi="Calibri" w:cs="Calibri"/>
                <w:sz w:val="22"/>
                <w:szCs w:val="22"/>
              </w:rPr>
              <w:t xml:space="preserve">. </w:t>
            </w:r>
          </w:p>
          <w:p w14:paraId="4C90E468" w14:textId="29928680" w:rsidR="00FA4056" w:rsidRDefault="00FA4056" w:rsidP="00FA4056">
            <w:pPr>
              <w:widowControl w:val="0"/>
              <w:rPr>
                <w:rFonts w:ascii="Calibri" w:eastAsia="Calibri" w:hAnsi="Calibri" w:cs="Calibri"/>
                <w:sz w:val="22"/>
                <w:szCs w:val="22"/>
              </w:rPr>
            </w:pPr>
          </w:p>
          <w:p w14:paraId="125ABC2F" w14:textId="721D5417" w:rsidR="000D2873" w:rsidRPr="00C15B4D" w:rsidRDefault="000D2873" w:rsidP="00B14973">
            <w:pPr>
              <w:widowControl w:val="0"/>
              <w:rPr>
                <w:rFonts w:ascii="Calibri" w:eastAsia="Calibri" w:hAnsi="Calibri" w:cs="Calibri"/>
                <w:sz w:val="22"/>
                <w:szCs w:val="22"/>
              </w:rPr>
            </w:pPr>
          </w:p>
        </w:tc>
        <w:tc>
          <w:tcPr>
            <w:tcW w:w="3875" w:type="dxa"/>
            <w:tcMar>
              <w:left w:w="108" w:type="dxa"/>
              <w:right w:w="108" w:type="dxa"/>
            </w:tcMar>
          </w:tcPr>
          <w:p w14:paraId="00DCAEB5" w14:textId="26FBE919" w:rsidR="00D94C35" w:rsidRPr="00D94C35" w:rsidRDefault="00D94C35" w:rsidP="00D94C35">
            <w:pPr>
              <w:widowControl w:val="0"/>
              <w:rPr>
                <w:rFonts w:ascii="Calibri" w:eastAsia="Calibri" w:hAnsi="Calibri" w:cs="Calibri"/>
                <w:sz w:val="22"/>
                <w:szCs w:val="22"/>
              </w:rPr>
            </w:pPr>
            <w:r w:rsidRPr="00D94C35">
              <w:rPr>
                <w:rFonts w:ascii="Calibri" w:eastAsia="Calibri" w:hAnsi="Calibri" w:cs="Calibri"/>
                <w:sz w:val="22"/>
                <w:szCs w:val="22"/>
              </w:rPr>
              <w:lastRenderedPageBreak/>
              <w:t>Parties shall submit their first BTR/national inventory report in accordance with the modalities, procedures and guidelines by 31 December 2024 (LDCs and SIDS at their discretion)</w:t>
            </w:r>
            <w:r>
              <w:rPr>
                <w:rFonts w:ascii="Calibri" w:eastAsia="Calibri" w:hAnsi="Calibri" w:cs="Calibri"/>
                <w:sz w:val="22"/>
                <w:szCs w:val="22"/>
              </w:rPr>
              <w:t>.</w:t>
            </w:r>
          </w:p>
          <w:p w14:paraId="2D271020" w14:textId="77777777" w:rsidR="00D94C35" w:rsidRPr="00D94C35" w:rsidRDefault="00D94C35" w:rsidP="00D94C35">
            <w:pPr>
              <w:widowControl w:val="0"/>
              <w:rPr>
                <w:rFonts w:ascii="Calibri" w:eastAsia="Calibri" w:hAnsi="Calibri" w:cs="Calibri"/>
                <w:sz w:val="22"/>
                <w:szCs w:val="22"/>
              </w:rPr>
            </w:pPr>
          </w:p>
          <w:p w14:paraId="4EA26235" w14:textId="15AC6299" w:rsidR="00D94C35" w:rsidRPr="00D94C35" w:rsidRDefault="00D94C35" w:rsidP="00D94C35">
            <w:pPr>
              <w:widowControl w:val="0"/>
              <w:rPr>
                <w:rFonts w:ascii="Calibri" w:eastAsia="Calibri" w:hAnsi="Calibri" w:cs="Calibri"/>
                <w:sz w:val="22"/>
                <w:szCs w:val="22"/>
              </w:rPr>
            </w:pPr>
            <w:r w:rsidRPr="00D94C35">
              <w:rPr>
                <w:rFonts w:ascii="Calibri" w:eastAsia="Calibri" w:hAnsi="Calibri" w:cs="Calibri"/>
                <w:sz w:val="22"/>
                <w:szCs w:val="22"/>
              </w:rPr>
              <w:t>Coordination with national adaptation planning processes</w:t>
            </w:r>
            <w:r>
              <w:rPr>
                <w:rFonts w:ascii="Calibri" w:eastAsia="Calibri" w:hAnsi="Calibri" w:cs="Calibri"/>
                <w:sz w:val="22"/>
                <w:szCs w:val="22"/>
              </w:rPr>
              <w:t xml:space="preserve"> and</w:t>
            </w:r>
            <w:r w:rsidRPr="00D94C35">
              <w:rPr>
                <w:rFonts w:ascii="Calibri" w:eastAsia="Calibri" w:hAnsi="Calibri" w:cs="Calibri"/>
                <w:sz w:val="22"/>
                <w:szCs w:val="22"/>
              </w:rPr>
              <w:t xml:space="preserve"> </w:t>
            </w:r>
            <w:r>
              <w:rPr>
                <w:rFonts w:ascii="Calibri" w:eastAsia="Calibri" w:hAnsi="Calibri" w:cs="Calibri"/>
                <w:sz w:val="22"/>
                <w:szCs w:val="22"/>
              </w:rPr>
              <w:t xml:space="preserve">the </w:t>
            </w:r>
            <w:r w:rsidRPr="00D94C35">
              <w:rPr>
                <w:rFonts w:ascii="Calibri" w:eastAsia="Calibri" w:hAnsi="Calibri" w:cs="Calibri"/>
                <w:sz w:val="22"/>
                <w:szCs w:val="22"/>
              </w:rPr>
              <w:t>adaptation communication process</w:t>
            </w:r>
            <w:r>
              <w:rPr>
                <w:rFonts w:ascii="Calibri" w:eastAsia="Calibri" w:hAnsi="Calibri" w:cs="Calibri"/>
                <w:sz w:val="22"/>
                <w:szCs w:val="22"/>
              </w:rPr>
              <w:t xml:space="preserve"> under </w:t>
            </w:r>
            <w:r w:rsidR="00AB4F8E">
              <w:rPr>
                <w:rFonts w:ascii="Calibri" w:eastAsia="Calibri" w:hAnsi="Calibri" w:cs="Calibri"/>
                <w:sz w:val="22"/>
                <w:szCs w:val="22"/>
              </w:rPr>
              <w:t xml:space="preserve">PA </w:t>
            </w:r>
            <w:r>
              <w:rPr>
                <w:rFonts w:ascii="Calibri" w:eastAsia="Calibri" w:hAnsi="Calibri" w:cs="Calibri"/>
                <w:sz w:val="22"/>
                <w:szCs w:val="22"/>
              </w:rPr>
              <w:t xml:space="preserve">Art.7. </w:t>
            </w:r>
            <w:r>
              <w:rPr>
                <w:rFonts w:ascii="Calibri" w:eastAsia="Calibri" w:hAnsi="Calibri" w:cs="Calibri"/>
                <w:sz w:val="22"/>
                <w:szCs w:val="22"/>
              </w:rPr>
              <w:lastRenderedPageBreak/>
              <w:t xml:space="preserve">In addition, </w:t>
            </w:r>
            <w:r w:rsidRPr="00D94C35">
              <w:rPr>
                <w:rFonts w:ascii="Calibri" w:eastAsia="Calibri" w:hAnsi="Calibri" w:cs="Calibri"/>
                <w:sz w:val="22"/>
                <w:szCs w:val="22"/>
              </w:rPr>
              <w:t>Parties may submit information related to averting, minimizing and addressing loss and damage associate</w:t>
            </w:r>
            <w:r>
              <w:rPr>
                <w:rFonts w:ascii="Calibri" w:eastAsia="Calibri" w:hAnsi="Calibri" w:cs="Calibri"/>
                <w:sz w:val="22"/>
                <w:szCs w:val="22"/>
              </w:rPr>
              <w:t>d with climate change impacts.</w:t>
            </w:r>
          </w:p>
          <w:p w14:paraId="0C862C17" w14:textId="77777777" w:rsidR="00D94C35" w:rsidRPr="00D94C35" w:rsidRDefault="00D94C35" w:rsidP="00D94C35">
            <w:pPr>
              <w:widowControl w:val="0"/>
              <w:rPr>
                <w:rFonts w:ascii="Calibri" w:eastAsia="Calibri" w:hAnsi="Calibri" w:cs="Calibri"/>
                <w:sz w:val="22"/>
                <w:szCs w:val="22"/>
              </w:rPr>
            </w:pPr>
          </w:p>
          <w:p w14:paraId="0127C4A0" w14:textId="0FF9C1F3" w:rsidR="00D94C35" w:rsidRDefault="00D94C35" w:rsidP="00DA498D">
            <w:pPr>
              <w:widowControl w:val="0"/>
              <w:rPr>
                <w:rFonts w:ascii="Calibri" w:eastAsia="Calibri" w:hAnsi="Calibri" w:cs="Calibri"/>
                <w:sz w:val="22"/>
                <w:szCs w:val="22"/>
              </w:rPr>
            </w:pPr>
            <w:r w:rsidRPr="00D94C35">
              <w:rPr>
                <w:rFonts w:ascii="Calibri" w:eastAsia="Calibri" w:hAnsi="Calibri" w:cs="Calibri"/>
                <w:sz w:val="22"/>
                <w:szCs w:val="22"/>
              </w:rPr>
              <w:t xml:space="preserve">Overarching cross-governmental systems in place to collect and synthesize information </w:t>
            </w:r>
            <w:r>
              <w:rPr>
                <w:rFonts w:ascii="Calibri" w:eastAsia="Calibri" w:hAnsi="Calibri" w:cs="Calibri"/>
                <w:sz w:val="22"/>
                <w:szCs w:val="22"/>
              </w:rPr>
              <w:t xml:space="preserve">re </w:t>
            </w:r>
            <w:r w:rsidRPr="00D94C35">
              <w:rPr>
                <w:rFonts w:ascii="Calibri" w:eastAsia="Calibri" w:hAnsi="Calibri" w:cs="Calibri"/>
                <w:sz w:val="22"/>
                <w:szCs w:val="22"/>
              </w:rPr>
              <w:t xml:space="preserve">mitigation, adaptation, loss and damage, technology transfer, capacity-building, </w:t>
            </w:r>
            <w:r w:rsidR="00F00F43">
              <w:rPr>
                <w:rFonts w:ascii="Calibri" w:eastAsia="Calibri" w:hAnsi="Calibri" w:cs="Calibri"/>
                <w:sz w:val="22"/>
                <w:szCs w:val="22"/>
              </w:rPr>
              <w:t xml:space="preserve">to </w:t>
            </w:r>
            <w:r w:rsidRPr="00D94C35">
              <w:rPr>
                <w:rFonts w:ascii="Calibri" w:eastAsia="Calibri" w:hAnsi="Calibri" w:cs="Calibri"/>
                <w:sz w:val="22"/>
                <w:szCs w:val="22"/>
              </w:rPr>
              <w:t xml:space="preserve">implement </w:t>
            </w:r>
            <w:r>
              <w:rPr>
                <w:rFonts w:ascii="Calibri" w:eastAsia="Calibri" w:hAnsi="Calibri" w:cs="Calibri"/>
                <w:sz w:val="22"/>
                <w:szCs w:val="22"/>
              </w:rPr>
              <w:t xml:space="preserve">the transparency framework, </w:t>
            </w:r>
            <w:r w:rsidRPr="00D94C35">
              <w:rPr>
                <w:rFonts w:ascii="Calibri" w:eastAsia="Calibri" w:hAnsi="Calibri" w:cs="Calibri"/>
                <w:sz w:val="22"/>
                <w:szCs w:val="22"/>
              </w:rPr>
              <w:t xml:space="preserve">as well as </w:t>
            </w:r>
            <w:r>
              <w:rPr>
                <w:rFonts w:ascii="Calibri" w:eastAsia="Calibri" w:hAnsi="Calibri" w:cs="Calibri"/>
                <w:sz w:val="22"/>
                <w:szCs w:val="22"/>
              </w:rPr>
              <w:t>support needed (including for compliance with transparency system) and received.</w:t>
            </w:r>
          </w:p>
          <w:p w14:paraId="6DAED8FB" w14:textId="77777777" w:rsidR="00D94C35" w:rsidRDefault="00D94C35" w:rsidP="00DA498D">
            <w:pPr>
              <w:widowControl w:val="0"/>
              <w:rPr>
                <w:rFonts w:ascii="Calibri" w:eastAsia="Calibri" w:hAnsi="Calibri" w:cs="Calibri"/>
                <w:sz w:val="22"/>
                <w:szCs w:val="22"/>
              </w:rPr>
            </w:pPr>
          </w:p>
          <w:p w14:paraId="3DF20ADA" w14:textId="2556991B" w:rsidR="00DA498D" w:rsidRPr="00C15B4D" w:rsidRDefault="00DA498D" w:rsidP="00DA498D">
            <w:pPr>
              <w:widowControl w:val="0"/>
              <w:rPr>
                <w:rFonts w:ascii="Calibri" w:eastAsia="Calibri" w:hAnsi="Calibri" w:cs="Calibri"/>
                <w:sz w:val="22"/>
                <w:szCs w:val="22"/>
              </w:rPr>
            </w:pPr>
            <w:r w:rsidRPr="00DA498D">
              <w:rPr>
                <w:rFonts w:ascii="Calibri" w:eastAsia="Calibri" w:hAnsi="Calibri" w:cs="Calibri"/>
                <w:sz w:val="22"/>
                <w:szCs w:val="22"/>
              </w:rPr>
              <w:t>Climate change and energy policy, law and regulations, which includes guidance on periodic GHG inventory reporting and relates this to monitoring of progr</w:t>
            </w:r>
            <w:r w:rsidR="00D94C35">
              <w:rPr>
                <w:rFonts w:ascii="Calibri" w:eastAsia="Calibri" w:hAnsi="Calibri" w:cs="Calibri"/>
                <w:sz w:val="22"/>
                <w:szCs w:val="22"/>
              </w:rPr>
              <w:t>ess made in achieving the NDCs.</w:t>
            </w:r>
          </w:p>
        </w:tc>
      </w:tr>
      <w:tr w:rsidR="0050475B" w14:paraId="70DC0EC5" w14:textId="77777777">
        <w:trPr>
          <w:trHeight w:val="20"/>
        </w:trPr>
        <w:tc>
          <w:tcPr>
            <w:tcW w:w="2694" w:type="dxa"/>
          </w:tcPr>
          <w:p w14:paraId="15B4020F" w14:textId="77777777" w:rsidR="0050475B" w:rsidRDefault="0050475B">
            <w:pPr>
              <w:widowControl w:val="0"/>
              <w:rPr>
                <w:rFonts w:ascii="Calibri" w:eastAsia="Calibri" w:hAnsi="Calibri" w:cs="Calibri"/>
                <w:sz w:val="22"/>
                <w:szCs w:val="22"/>
              </w:rPr>
            </w:pPr>
          </w:p>
        </w:tc>
        <w:tc>
          <w:tcPr>
            <w:tcW w:w="3685" w:type="dxa"/>
            <w:tcMar>
              <w:left w:w="108" w:type="dxa"/>
              <w:right w:w="108" w:type="dxa"/>
            </w:tcMar>
          </w:tcPr>
          <w:p w14:paraId="35BFB0D2" w14:textId="77777777" w:rsidR="0050475B" w:rsidRPr="00C15B4D" w:rsidRDefault="0050475B">
            <w:pPr>
              <w:widowControl w:val="0"/>
              <w:rPr>
                <w:rFonts w:ascii="Calibri" w:eastAsia="Calibri" w:hAnsi="Calibri" w:cs="Calibri"/>
                <w:sz w:val="22"/>
                <w:szCs w:val="22"/>
              </w:rPr>
            </w:pPr>
          </w:p>
        </w:tc>
        <w:tc>
          <w:tcPr>
            <w:tcW w:w="3686" w:type="dxa"/>
            <w:tcMar>
              <w:left w:w="108" w:type="dxa"/>
              <w:right w:w="108" w:type="dxa"/>
            </w:tcMar>
          </w:tcPr>
          <w:p w14:paraId="753E9285" w14:textId="77777777" w:rsidR="0050475B" w:rsidRDefault="0050475B" w:rsidP="00FA4056">
            <w:pPr>
              <w:widowControl w:val="0"/>
              <w:rPr>
                <w:rFonts w:ascii="Calibri" w:eastAsia="Calibri" w:hAnsi="Calibri" w:cs="Calibri"/>
                <w:sz w:val="22"/>
                <w:szCs w:val="22"/>
              </w:rPr>
            </w:pPr>
            <w:r w:rsidRPr="00C15B4D">
              <w:rPr>
                <w:rFonts w:ascii="Calibri" w:eastAsia="Calibri" w:hAnsi="Calibri" w:cs="Calibri"/>
                <w:sz w:val="22"/>
                <w:szCs w:val="22"/>
              </w:rPr>
              <w:t>Parties to nominate experts and UNFCCC Consultative Group of Experts will also serve PA (18/CMA.1, paras 1, 3, 4, 5, 15 &amp; Annex).</w:t>
            </w:r>
          </w:p>
          <w:p w14:paraId="7C87F717" w14:textId="77777777" w:rsidR="0050475B" w:rsidRDefault="0050475B" w:rsidP="00FA4056">
            <w:pPr>
              <w:widowControl w:val="0"/>
              <w:rPr>
                <w:rFonts w:ascii="Calibri" w:eastAsia="Calibri" w:hAnsi="Calibri" w:cs="Calibri"/>
                <w:sz w:val="22"/>
                <w:szCs w:val="22"/>
              </w:rPr>
            </w:pPr>
          </w:p>
          <w:p w14:paraId="071F3A73" w14:textId="3BCA2429" w:rsidR="0050475B" w:rsidRPr="0050475B" w:rsidRDefault="0050475B" w:rsidP="0050475B">
            <w:pPr>
              <w:widowControl w:val="0"/>
              <w:rPr>
                <w:rFonts w:ascii="Calibri" w:eastAsia="Calibri" w:hAnsi="Calibri" w:cs="Calibri"/>
                <w:sz w:val="22"/>
                <w:szCs w:val="22"/>
              </w:rPr>
            </w:pPr>
            <w:r w:rsidRPr="00DA498D">
              <w:rPr>
                <w:rFonts w:ascii="Calibri" w:eastAsia="Calibri" w:hAnsi="Calibri" w:cs="Calibri"/>
                <w:sz w:val="22"/>
                <w:szCs w:val="22"/>
              </w:rPr>
              <w:t xml:space="preserve">SBSTA </w:t>
            </w:r>
            <w:r>
              <w:rPr>
                <w:rFonts w:ascii="Calibri" w:eastAsia="Calibri" w:hAnsi="Calibri" w:cs="Calibri"/>
                <w:sz w:val="22"/>
                <w:szCs w:val="22"/>
              </w:rPr>
              <w:t xml:space="preserve">has been tasked </w:t>
            </w:r>
            <w:r w:rsidRPr="00DA498D">
              <w:rPr>
                <w:rFonts w:ascii="Calibri" w:eastAsia="Calibri" w:hAnsi="Calibri" w:cs="Calibri"/>
                <w:sz w:val="22"/>
                <w:szCs w:val="22"/>
              </w:rPr>
              <w:t xml:space="preserve">to develop </w:t>
            </w:r>
            <w:r>
              <w:rPr>
                <w:rFonts w:ascii="Calibri" w:eastAsia="Calibri" w:hAnsi="Calibri" w:cs="Calibri"/>
                <w:sz w:val="22"/>
                <w:szCs w:val="22"/>
              </w:rPr>
              <w:t xml:space="preserve">outlines of common reporting templates, tables and other formats </w:t>
            </w:r>
            <w:r w:rsidRPr="00DA498D">
              <w:rPr>
                <w:rFonts w:ascii="Calibri" w:eastAsia="Calibri" w:hAnsi="Calibri" w:cs="Calibri"/>
                <w:sz w:val="22"/>
                <w:szCs w:val="22"/>
              </w:rPr>
              <w:t>by November 2020</w:t>
            </w:r>
            <w:r>
              <w:rPr>
                <w:rFonts w:ascii="Calibri" w:eastAsia="Calibri" w:hAnsi="Calibri" w:cs="Calibri"/>
                <w:sz w:val="22"/>
                <w:szCs w:val="22"/>
              </w:rPr>
              <w:t>.</w:t>
            </w:r>
          </w:p>
          <w:p w14:paraId="54120273" w14:textId="77777777" w:rsidR="0050475B" w:rsidRDefault="0050475B" w:rsidP="0050475B">
            <w:pPr>
              <w:widowControl w:val="0"/>
              <w:rPr>
                <w:rFonts w:ascii="Calibri" w:eastAsia="Calibri" w:hAnsi="Calibri" w:cs="Calibri"/>
                <w:sz w:val="22"/>
                <w:szCs w:val="22"/>
              </w:rPr>
            </w:pPr>
          </w:p>
          <w:p w14:paraId="15EF4B0C" w14:textId="51F4EA37" w:rsidR="0050475B" w:rsidRPr="00C15B4D" w:rsidRDefault="0050475B" w:rsidP="0050475B">
            <w:pPr>
              <w:widowControl w:val="0"/>
              <w:rPr>
                <w:rFonts w:ascii="Calibri" w:eastAsia="Calibri" w:hAnsi="Calibri" w:cs="Calibri"/>
                <w:sz w:val="22"/>
                <w:szCs w:val="22"/>
              </w:rPr>
            </w:pPr>
            <w:r w:rsidRPr="008A0CAC">
              <w:rPr>
                <w:rFonts w:ascii="Calibri" w:eastAsia="Calibri" w:hAnsi="Calibri" w:cs="Calibri"/>
                <w:sz w:val="22"/>
                <w:szCs w:val="22"/>
              </w:rPr>
              <w:t>The GEF, as an operating entity of the financial mechanism, has been requested to support developing countries in preparing their first and subsequent BTRs</w:t>
            </w:r>
            <w:r>
              <w:rPr>
                <w:rFonts w:ascii="Calibri" w:eastAsia="Calibri" w:hAnsi="Calibri" w:cs="Calibri"/>
                <w:sz w:val="22"/>
                <w:szCs w:val="22"/>
              </w:rPr>
              <w:t>.</w:t>
            </w:r>
          </w:p>
        </w:tc>
        <w:tc>
          <w:tcPr>
            <w:tcW w:w="3875" w:type="dxa"/>
            <w:tcMar>
              <w:left w:w="108" w:type="dxa"/>
              <w:right w:w="108" w:type="dxa"/>
            </w:tcMar>
          </w:tcPr>
          <w:p w14:paraId="4C8508AF" w14:textId="77777777" w:rsidR="0050475B" w:rsidRDefault="0050475B" w:rsidP="00DA498D">
            <w:pPr>
              <w:widowControl w:val="0"/>
              <w:rPr>
                <w:rFonts w:ascii="Calibri" w:eastAsia="Calibri" w:hAnsi="Calibri" w:cs="Calibri"/>
                <w:sz w:val="22"/>
                <w:szCs w:val="22"/>
              </w:rPr>
            </w:pPr>
            <w:r w:rsidRPr="0050475B">
              <w:rPr>
                <w:rFonts w:ascii="Calibri" w:eastAsia="Calibri" w:hAnsi="Calibri" w:cs="Calibri"/>
                <w:sz w:val="22"/>
                <w:szCs w:val="22"/>
              </w:rPr>
              <w:lastRenderedPageBreak/>
              <w:t>Systems in place to identify capacity-building needs across government departments to ensure robust participation in the technical expert review process</w:t>
            </w:r>
            <w:r w:rsidR="00D94C35">
              <w:rPr>
                <w:rFonts w:ascii="Calibri" w:eastAsia="Calibri" w:hAnsi="Calibri" w:cs="Calibri"/>
                <w:sz w:val="22"/>
                <w:szCs w:val="22"/>
              </w:rPr>
              <w:t>.</w:t>
            </w:r>
          </w:p>
          <w:p w14:paraId="08482583" w14:textId="77777777" w:rsidR="00D94C35" w:rsidRDefault="00D94C35" w:rsidP="00DA498D">
            <w:pPr>
              <w:widowControl w:val="0"/>
              <w:rPr>
                <w:rFonts w:ascii="Calibri" w:eastAsia="Calibri" w:hAnsi="Calibri" w:cs="Calibri"/>
                <w:sz w:val="22"/>
                <w:szCs w:val="22"/>
              </w:rPr>
            </w:pPr>
          </w:p>
          <w:p w14:paraId="181ECE46" w14:textId="6F23D9D2" w:rsidR="00D94C35" w:rsidRPr="00DA498D" w:rsidRDefault="00D94C35" w:rsidP="00DA498D">
            <w:pPr>
              <w:widowControl w:val="0"/>
              <w:rPr>
                <w:rFonts w:ascii="Calibri" w:eastAsia="Calibri" w:hAnsi="Calibri" w:cs="Calibri"/>
                <w:sz w:val="22"/>
                <w:szCs w:val="22"/>
              </w:rPr>
            </w:pPr>
            <w:r>
              <w:rPr>
                <w:rFonts w:ascii="Calibri" w:eastAsia="Calibri" w:hAnsi="Calibri" w:cs="Calibri"/>
                <w:sz w:val="22"/>
                <w:szCs w:val="22"/>
              </w:rPr>
              <w:t>Input in ongoing deliberations and obtaining financial and technical support as required.</w:t>
            </w:r>
          </w:p>
        </w:tc>
      </w:tr>
      <w:tr w:rsidR="000D2873" w14:paraId="249F8095" w14:textId="77777777">
        <w:trPr>
          <w:trHeight w:val="20"/>
        </w:trPr>
        <w:tc>
          <w:tcPr>
            <w:tcW w:w="2694" w:type="dxa"/>
          </w:tcPr>
          <w:p w14:paraId="03F59626" w14:textId="26AAFA11" w:rsidR="000D2873" w:rsidRDefault="000D2873">
            <w:pPr>
              <w:widowControl w:val="0"/>
              <w:rPr>
                <w:rFonts w:ascii="Calibri" w:eastAsia="Calibri" w:hAnsi="Calibri" w:cs="Calibri"/>
              </w:rPr>
            </w:pPr>
            <w:r>
              <w:rPr>
                <w:rFonts w:ascii="Calibri" w:eastAsia="Calibri" w:hAnsi="Calibri" w:cs="Calibri"/>
                <w:sz w:val="22"/>
                <w:szCs w:val="22"/>
              </w:rPr>
              <w:lastRenderedPageBreak/>
              <w:t>This includes national greenhouse gas inventories (</w:t>
            </w:r>
            <w:r w:rsidR="00D64AEA">
              <w:rPr>
                <w:rFonts w:ascii="Calibri" w:eastAsia="Calibri" w:hAnsi="Calibri" w:cs="Calibri"/>
                <w:sz w:val="22"/>
                <w:szCs w:val="22"/>
              </w:rPr>
              <w:t xml:space="preserve">PA </w:t>
            </w:r>
            <w:r>
              <w:rPr>
                <w:rFonts w:ascii="Calibri" w:eastAsia="Calibri" w:hAnsi="Calibri" w:cs="Calibri"/>
                <w:sz w:val="22"/>
                <w:szCs w:val="22"/>
              </w:rPr>
              <w:t>Art.13.7 a</w:t>
            </w:r>
            <w:r w:rsidR="00D64AEA">
              <w:rPr>
                <w:rFonts w:ascii="Calibri" w:eastAsia="Calibri" w:hAnsi="Calibri" w:cs="Calibri"/>
                <w:sz w:val="22"/>
                <w:szCs w:val="22"/>
              </w:rPr>
              <w:t>.</w:t>
            </w:r>
            <w:r>
              <w:rPr>
                <w:rFonts w:ascii="Calibri" w:eastAsia="Calibri" w:hAnsi="Calibri" w:cs="Calibri"/>
                <w:sz w:val="22"/>
                <w:szCs w:val="22"/>
              </w:rPr>
              <w:t>)</w:t>
            </w:r>
          </w:p>
        </w:tc>
        <w:tc>
          <w:tcPr>
            <w:tcW w:w="3685" w:type="dxa"/>
            <w:tcMar>
              <w:left w:w="108" w:type="dxa"/>
              <w:right w:w="108" w:type="dxa"/>
            </w:tcMar>
          </w:tcPr>
          <w:p w14:paraId="7F8DD929" w14:textId="3CD012A1" w:rsidR="000D2873" w:rsidRPr="00C15B4D" w:rsidRDefault="000D2873">
            <w:pPr>
              <w:widowControl w:val="0"/>
              <w:rPr>
                <w:rFonts w:ascii="Calibri" w:eastAsia="Calibri" w:hAnsi="Calibri" w:cs="Calibri"/>
                <w:sz w:val="22"/>
                <w:szCs w:val="22"/>
              </w:rPr>
            </w:pPr>
            <w:r w:rsidRPr="00C15B4D">
              <w:rPr>
                <w:rFonts w:ascii="Calibri" w:eastAsia="Calibri" w:hAnsi="Calibri" w:cs="Calibri"/>
                <w:sz w:val="22"/>
                <w:szCs w:val="22"/>
              </w:rPr>
              <w:t xml:space="preserve">To be prepared using good practice methodologies accepted by the IPCC and agreed by </w:t>
            </w:r>
            <w:r w:rsidR="00D64AEA">
              <w:rPr>
                <w:rFonts w:ascii="Calibri" w:eastAsia="Calibri" w:hAnsi="Calibri" w:cs="Calibri"/>
                <w:sz w:val="22"/>
                <w:szCs w:val="22"/>
              </w:rPr>
              <w:t xml:space="preserve">the </w:t>
            </w:r>
            <w:r w:rsidRPr="00C15B4D">
              <w:rPr>
                <w:rFonts w:ascii="Calibri" w:eastAsia="Calibri" w:hAnsi="Calibri" w:cs="Calibri"/>
                <w:sz w:val="22"/>
                <w:szCs w:val="22"/>
              </w:rPr>
              <w:t>CMA (</w:t>
            </w:r>
            <w:r w:rsidR="00D64AEA">
              <w:rPr>
                <w:rFonts w:ascii="Calibri" w:eastAsia="Calibri" w:hAnsi="Calibri" w:cs="Calibri"/>
                <w:sz w:val="22"/>
                <w:szCs w:val="22"/>
              </w:rPr>
              <w:t xml:space="preserve">PA </w:t>
            </w:r>
            <w:r w:rsidRPr="00C15B4D">
              <w:rPr>
                <w:rFonts w:ascii="Calibri" w:eastAsia="Calibri" w:hAnsi="Calibri" w:cs="Calibri"/>
                <w:sz w:val="22"/>
                <w:szCs w:val="22"/>
              </w:rPr>
              <w:t>Art.13.7</w:t>
            </w:r>
            <w:r w:rsidR="00D64AEA">
              <w:rPr>
                <w:rFonts w:ascii="Calibri" w:eastAsia="Calibri" w:hAnsi="Calibri" w:cs="Calibri"/>
                <w:sz w:val="22"/>
                <w:szCs w:val="22"/>
              </w:rPr>
              <w:t xml:space="preserve"> </w:t>
            </w:r>
            <w:r w:rsidRPr="00C15B4D">
              <w:rPr>
                <w:rFonts w:ascii="Calibri" w:eastAsia="Calibri" w:hAnsi="Calibri" w:cs="Calibri"/>
                <w:sz w:val="22"/>
                <w:szCs w:val="22"/>
              </w:rPr>
              <w:t>a</w:t>
            </w:r>
            <w:r w:rsidR="00D64AEA">
              <w:rPr>
                <w:rFonts w:ascii="Calibri" w:eastAsia="Calibri" w:hAnsi="Calibri" w:cs="Calibri"/>
                <w:sz w:val="22"/>
                <w:szCs w:val="22"/>
              </w:rPr>
              <w:t>.</w:t>
            </w:r>
            <w:r w:rsidRPr="00C15B4D">
              <w:rPr>
                <w:rFonts w:ascii="Calibri" w:eastAsia="Calibri" w:hAnsi="Calibri" w:cs="Calibri"/>
                <w:sz w:val="22"/>
                <w:szCs w:val="22"/>
              </w:rPr>
              <w:t>)</w:t>
            </w:r>
          </w:p>
        </w:tc>
        <w:tc>
          <w:tcPr>
            <w:tcW w:w="3686" w:type="dxa"/>
            <w:tcMar>
              <w:left w:w="108" w:type="dxa"/>
              <w:right w:w="108" w:type="dxa"/>
            </w:tcMar>
          </w:tcPr>
          <w:p w14:paraId="7FD10449" w14:textId="77777777" w:rsidR="000D2873" w:rsidRPr="00C15B4D" w:rsidRDefault="000D2873">
            <w:pPr>
              <w:widowControl w:val="0"/>
              <w:rPr>
                <w:rFonts w:ascii="Calibri" w:eastAsia="Calibri" w:hAnsi="Calibri" w:cs="Calibri"/>
                <w:sz w:val="22"/>
                <w:szCs w:val="22"/>
              </w:rPr>
            </w:pPr>
            <w:r w:rsidRPr="00C15B4D">
              <w:rPr>
                <w:rFonts w:ascii="Calibri" w:eastAsia="Calibri" w:hAnsi="Calibri" w:cs="Calibri"/>
                <w:sz w:val="22"/>
                <w:szCs w:val="22"/>
              </w:rPr>
              <w:t>No specific timeline indicated but in time for Parties to prepare the reports for the global stocktake (before 2023)</w:t>
            </w:r>
          </w:p>
        </w:tc>
        <w:tc>
          <w:tcPr>
            <w:tcW w:w="3875" w:type="dxa"/>
            <w:tcMar>
              <w:left w:w="108" w:type="dxa"/>
              <w:right w:w="108" w:type="dxa"/>
            </w:tcMar>
          </w:tcPr>
          <w:p w14:paraId="109E513E" w14:textId="27898C6D" w:rsidR="000D2873" w:rsidRPr="00C15B4D" w:rsidRDefault="00A751D3" w:rsidP="00C42EE0">
            <w:pPr>
              <w:widowControl w:val="0"/>
              <w:rPr>
                <w:rFonts w:ascii="Calibri" w:eastAsia="Calibri" w:hAnsi="Calibri" w:cs="Calibri"/>
                <w:sz w:val="22"/>
                <w:szCs w:val="22"/>
              </w:rPr>
            </w:pPr>
            <w:r>
              <w:rPr>
                <w:rFonts w:ascii="Calibri" w:eastAsia="Calibri" w:hAnsi="Calibri" w:cs="Calibri"/>
                <w:sz w:val="22"/>
                <w:szCs w:val="22"/>
              </w:rPr>
              <w:t>I</w:t>
            </w:r>
            <w:r w:rsidR="009D29DD" w:rsidRPr="009D29DD">
              <w:rPr>
                <w:rFonts w:ascii="Calibri" w:eastAsia="Calibri" w:hAnsi="Calibri" w:cs="Calibri"/>
                <w:sz w:val="22"/>
                <w:szCs w:val="22"/>
              </w:rPr>
              <w:t>mprove emissions data collection, monitoring and reporting.</w:t>
            </w:r>
          </w:p>
        </w:tc>
      </w:tr>
      <w:tr w:rsidR="000D2873" w14:paraId="2D35B063" w14:textId="77777777">
        <w:trPr>
          <w:trHeight w:val="20"/>
        </w:trPr>
        <w:tc>
          <w:tcPr>
            <w:tcW w:w="13940" w:type="dxa"/>
            <w:gridSpan w:val="4"/>
            <w:shd w:val="clear" w:color="auto" w:fill="D9D9D9"/>
          </w:tcPr>
          <w:p w14:paraId="16148B6E" w14:textId="77777777" w:rsidR="000D2873" w:rsidRPr="00C15B4D" w:rsidRDefault="000D2873">
            <w:pPr>
              <w:widowControl w:val="0"/>
              <w:rPr>
                <w:rFonts w:ascii="Calibri" w:eastAsia="Calibri" w:hAnsi="Calibri" w:cs="Calibri"/>
                <w:sz w:val="22"/>
                <w:szCs w:val="22"/>
              </w:rPr>
            </w:pPr>
            <w:r w:rsidRPr="00C15B4D">
              <w:rPr>
                <w:rFonts w:ascii="Calibri" w:eastAsia="Calibri" w:hAnsi="Calibri" w:cs="Calibri"/>
                <w:sz w:val="22"/>
                <w:szCs w:val="22"/>
              </w:rPr>
              <w:t>Global stocktake</w:t>
            </w:r>
          </w:p>
        </w:tc>
      </w:tr>
      <w:tr w:rsidR="00702F1C" w14:paraId="6CF4C805" w14:textId="77777777">
        <w:trPr>
          <w:trHeight w:val="20"/>
        </w:trPr>
        <w:tc>
          <w:tcPr>
            <w:tcW w:w="2694" w:type="dxa"/>
            <w:vMerge w:val="restart"/>
          </w:tcPr>
          <w:p w14:paraId="7FBC8CFE" w14:textId="12BAA86A" w:rsidR="00702F1C" w:rsidRDefault="00F00F43">
            <w:pPr>
              <w:widowControl w:val="0"/>
              <w:rPr>
                <w:rFonts w:ascii="Calibri" w:eastAsia="Calibri" w:hAnsi="Calibri" w:cs="Calibri"/>
              </w:rPr>
            </w:pPr>
            <w:r>
              <w:rPr>
                <w:rFonts w:ascii="Calibri" w:eastAsia="Calibri" w:hAnsi="Calibri" w:cs="Calibri"/>
                <w:sz w:val="22"/>
                <w:szCs w:val="22"/>
              </w:rPr>
              <w:t xml:space="preserve">PA </w:t>
            </w:r>
            <w:r w:rsidR="00702F1C">
              <w:rPr>
                <w:rFonts w:ascii="Calibri" w:eastAsia="Calibri" w:hAnsi="Calibri" w:cs="Calibri"/>
                <w:sz w:val="22"/>
                <w:szCs w:val="22"/>
              </w:rPr>
              <w:t>Art.14: Assessing collective progress every 5 years, starting in 2023</w:t>
            </w:r>
          </w:p>
        </w:tc>
        <w:tc>
          <w:tcPr>
            <w:tcW w:w="3685" w:type="dxa"/>
            <w:tcMar>
              <w:left w:w="108" w:type="dxa"/>
              <w:right w:w="108" w:type="dxa"/>
            </w:tcMar>
          </w:tcPr>
          <w:p w14:paraId="7F79F3F7" w14:textId="62D2293F" w:rsidR="00702F1C" w:rsidRPr="00C15B4D" w:rsidRDefault="00702F1C">
            <w:pPr>
              <w:widowControl w:val="0"/>
              <w:rPr>
                <w:rFonts w:ascii="Calibri" w:eastAsia="Calibri" w:hAnsi="Calibri" w:cs="Calibri"/>
                <w:sz w:val="22"/>
                <w:szCs w:val="22"/>
              </w:rPr>
            </w:pPr>
            <w:r w:rsidRPr="00C15B4D">
              <w:rPr>
                <w:rFonts w:ascii="Calibri" w:eastAsia="Calibri" w:hAnsi="Calibri" w:cs="Calibri"/>
                <w:sz w:val="22"/>
                <w:szCs w:val="22"/>
              </w:rPr>
              <w:t>Identify the sources of input for the global stocktake (1/CP.21 para.99) at CMA1</w:t>
            </w:r>
            <w:r w:rsidR="00A751D3">
              <w:rPr>
                <w:rFonts w:ascii="Calibri" w:eastAsia="Calibri" w:hAnsi="Calibri" w:cs="Calibri"/>
                <w:sz w:val="22"/>
                <w:szCs w:val="22"/>
              </w:rPr>
              <w:t xml:space="preserve"> (Katowice, 2018)</w:t>
            </w:r>
          </w:p>
        </w:tc>
        <w:tc>
          <w:tcPr>
            <w:tcW w:w="3686" w:type="dxa"/>
            <w:tcMar>
              <w:left w:w="108" w:type="dxa"/>
              <w:right w:w="108" w:type="dxa"/>
            </w:tcMar>
          </w:tcPr>
          <w:p w14:paraId="04914923" w14:textId="14DC06BE" w:rsidR="00702F1C" w:rsidRPr="00C15B4D" w:rsidRDefault="00702F1C">
            <w:pPr>
              <w:widowControl w:val="0"/>
              <w:rPr>
                <w:rFonts w:ascii="Calibri" w:eastAsia="Calibri" w:hAnsi="Calibri" w:cs="Calibri"/>
                <w:sz w:val="22"/>
                <w:szCs w:val="22"/>
              </w:rPr>
            </w:pPr>
            <w:r w:rsidRPr="00C15B4D">
              <w:rPr>
                <w:rFonts w:ascii="Calibri" w:eastAsia="Calibri" w:hAnsi="Calibri" w:cs="Calibri"/>
                <w:sz w:val="22"/>
                <w:szCs w:val="22"/>
              </w:rPr>
              <w:t xml:space="preserve">A non-exhaustive list (including e.g. IPCC, UN, </w:t>
            </w:r>
            <w:r w:rsidR="00A751D3">
              <w:rPr>
                <w:rFonts w:ascii="Calibri" w:eastAsia="Calibri" w:hAnsi="Calibri" w:cs="Calibri"/>
                <w:sz w:val="22"/>
                <w:szCs w:val="22"/>
              </w:rPr>
              <w:t>P</w:t>
            </w:r>
            <w:r w:rsidR="00A751D3" w:rsidRPr="00C15B4D">
              <w:rPr>
                <w:rFonts w:ascii="Calibri" w:eastAsia="Calibri" w:hAnsi="Calibri" w:cs="Calibri"/>
                <w:sz w:val="22"/>
                <w:szCs w:val="22"/>
              </w:rPr>
              <w:t xml:space="preserve">arty </w:t>
            </w:r>
            <w:r w:rsidRPr="00C15B4D">
              <w:rPr>
                <w:rFonts w:ascii="Calibri" w:eastAsia="Calibri" w:hAnsi="Calibri" w:cs="Calibri"/>
                <w:sz w:val="22"/>
                <w:szCs w:val="22"/>
              </w:rPr>
              <w:t>and non-</w:t>
            </w:r>
            <w:r w:rsidR="00A751D3">
              <w:rPr>
                <w:rFonts w:ascii="Calibri" w:eastAsia="Calibri" w:hAnsi="Calibri" w:cs="Calibri"/>
                <w:sz w:val="22"/>
                <w:szCs w:val="22"/>
              </w:rPr>
              <w:t>P</w:t>
            </w:r>
            <w:r w:rsidR="00A751D3" w:rsidRPr="00C15B4D">
              <w:rPr>
                <w:rFonts w:ascii="Calibri" w:eastAsia="Calibri" w:hAnsi="Calibri" w:cs="Calibri"/>
                <w:sz w:val="22"/>
                <w:szCs w:val="22"/>
              </w:rPr>
              <w:t xml:space="preserve">arty </w:t>
            </w:r>
            <w:r w:rsidRPr="00C15B4D">
              <w:rPr>
                <w:rFonts w:ascii="Calibri" w:eastAsia="Calibri" w:hAnsi="Calibri" w:cs="Calibri"/>
                <w:sz w:val="22"/>
                <w:szCs w:val="22"/>
              </w:rPr>
              <w:t>reports) was agreed (19/CMA.1, paras 36 and 37)</w:t>
            </w:r>
          </w:p>
        </w:tc>
        <w:tc>
          <w:tcPr>
            <w:tcW w:w="3875" w:type="dxa"/>
            <w:tcMar>
              <w:left w:w="108" w:type="dxa"/>
              <w:right w:w="108" w:type="dxa"/>
            </w:tcMar>
          </w:tcPr>
          <w:p w14:paraId="1D8083D3" w14:textId="77777777" w:rsidR="00702F1C" w:rsidRDefault="00702F1C" w:rsidP="00AD3942">
            <w:pPr>
              <w:widowControl w:val="0"/>
              <w:rPr>
                <w:rFonts w:asciiTheme="majorHAnsi" w:hAnsiTheme="majorHAnsi"/>
                <w:sz w:val="22"/>
                <w:szCs w:val="22"/>
              </w:rPr>
            </w:pPr>
            <w:r w:rsidRPr="00702F1C">
              <w:rPr>
                <w:rFonts w:asciiTheme="majorHAnsi" w:hAnsiTheme="majorHAnsi"/>
                <w:sz w:val="22"/>
                <w:szCs w:val="22"/>
              </w:rPr>
              <w:t>Systems in place to ensure that required information is available on a timely basis to contribute to the global stocktake</w:t>
            </w:r>
          </w:p>
          <w:p w14:paraId="54AF87AD" w14:textId="41BAF4C2" w:rsidR="00702F1C" w:rsidRPr="00702F1C" w:rsidRDefault="00E76323" w:rsidP="00AD3942">
            <w:pPr>
              <w:widowControl w:val="0"/>
              <w:rPr>
                <w:rFonts w:asciiTheme="majorHAnsi" w:eastAsia="Calibri" w:hAnsiTheme="majorHAnsi" w:cs="Calibri"/>
                <w:sz w:val="22"/>
                <w:szCs w:val="22"/>
              </w:rPr>
            </w:pPr>
            <w:r>
              <w:rPr>
                <w:rFonts w:asciiTheme="majorHAnsi" w:hAnsiTheme="majorHAnsi"/>
                <w:sz w:val="22"/>
                <w:szCs w:val="22"/>
              </w:rPr>
              <w:t xml:space="preserve"> </w:t>
            </w:r>
          </w:p>
        </w:tc>
      </w:tr>
      <w:tr w:rsidR="00702F1C" w14:paraId="4363EE37" w14:textId="77777777">
        <w:trPr>
          <w:trHeight w:val="20"/>
        </w:trPr>
        <w:tc>
          <w:tcPr>
            <w:tcW w:w="2694" w:type="dxa"/>
            <w:vMerge/>
          </w:tcPr>
          <w:p w14:paraId="05AA4F4C" w14:textId="77777777" w:rsidR="00702F1C" w:rsidRDefault="00702F1C">
            <w:pPr>
              <w:widowControl w:val="0"/>
              <w:pBdr>
                <w:top w:val="nil"/>
                <w:left w:val="nil"/>
                <w:bottom w:val="nil"/>
                <w:right w:val="nil"/>
                <w:between w:val="nil"/>
              </w:pBdr>
              <w:spacing w:line="276" w:lineRule="auto"/>
              <w:rPr>
                <w:rFonts w:ascii="Calibri" w:eastAsia="Calibri" w:hAnsi="Calibri" w:cs="Calibri"/>
              </w:rPr>
            </w:pPr>
          </w:p>
        </w:tc>
        <w:tc>
          <w:tcPr>
            <w:tcW w:w="3685" w:type="dxa"/>
            <w:tcMar>
              <w:left w:w="108" w:type="dxa"/>
              <w:right w:w="108" w:type="dxa"/>
            </w:tcMar>
          </w:tcPr>
          <w:p w14:paraId="71B0C43D" w14:textId="520601FB" w:rsidR="00702F1C" w:rsidRPr="00C15B4D" w:rsidRDefault="00702F1C">
            <w:pPr>
              <w:widowControl w:val="0"/>
              <w:rPr>
                <w:rFonts w:ascii="Calibri" w:eastAsia="Calibri" w:hAnsi="Calibri" w:cs="Calibri"/>
                <w:sz w:val="22"/>
                <w:szCs w:val="22"/>
              </w:rPr>
            </w:pPr>
            <w:r w:rsidRPr="00C15B4D">
              <w:rPr>
                <w:rFonts w:ascii="Calibri" w:eastAsia="Calibri" w:hAnsi="Calibri" w:cs="Calibri"/>
                <w:sz w:val="22"/>
                <w:szCs w:val="22"/>
              </w:rPr>
              <w:t>Develop modalities for the global stocktake (</w:t>
            </w:r>
            <w:r w:rsidR="00A751D3">
              <w:rPr>
                <w:rFonts w:ascii="Calibri" w:eastAsia="Calibri" w:hAnsi="Calibri" w:cs="Calibri"/>
                <w:sz w:val="22"/>
                <w:szCs w:val="22"/>
              </w:rPr>
              <w:t xml:space="preserve">1/CP.21 </w:t>
            </w:r>
            <w:r w:rsidRPr="00C15B4D">
              <w:rPr>
                <w:rFonts w:ascii="Calibri" w:eastAsia="Calibri" w:hAnsi="Calibri" w:cs="Calibri"/>
                <w:sz w:val="22"/>
                <w:szCs w:val="22"/>
              </w:rPr>
              <w:t>para.101)</w:t>
            </w:r>
          </w:p>
        </w:tc>
        <w:tc>
          <w:tcPr>
            <w:tcW w:w="3686" w:type="dxa"/>
            <w:tcMar>
              <w:left w:w="108" w:type="dxa"/>
              <w:right w:w="108" w:type="dxa"/>
            </w:tcMar>
          </w:tcPr>
          <w:p w14:paraId="256549C1" w14:textId="64F06273" w:rsidR="00702F1C" w:rsidRPr="00C15B4D" w:rsidRDefault="00702F1C" w:rsidP="003C72DE">
            <w:pPr>
              <w:widowControl w:val="0"/>
              <w:rPr>
                <w:rFonts w:ascii="Calibri" w:eastAsia="Calibri" w:hAnsi="Calibri" w:cs="Calibri"/>
                <w:sz w:val="22"/>
                <w:szCs w:val="22"/>
              </w:rPr>
            </w:pPr>
            <w:r w:rsidRPr="00C15B4D">
              <w:rPr>
                <w:rFonts w:ascii="Calibri" w:eastAsia="Calibri" w:hAnsi="Calibri" w:cs="Calibri"/>
                <w:sz w:val="22"/>
                <w:szCs w:val="22"/>
              </w:rPr>
              <w:t xml:space="preserve">Parties decided on a 3-stage </w:t>
            </w:r>
            <w:r w:rsidR="00A751D3">
              <w:rPr>
                <w:rFonts w:ascii="Calibri" w:eastAsia="Calibri" w:hAnsi="Calibri" w:cs="Calibri"/>
                <w:sz w:val="22"/>
                <w:szCs w:val="22"/>
              </w:rPr>
              <w:t>P</w:t>
            </w:r>
            <w:r w:rsidR="00A751D3" w:rsidRPr="00C15B4D">
              <w:rPr>
                <w:rFonts w:ascii="Calibri" w:eastAsia="Calibri" w:hAnsi="Calibri" w:cs="Calibri"/>
                <w:sz w:val="22"/>
                <w:szCs w:val="22"/>
              </w:rPr>
              <w:t xml:space="preserve">arty </w:t>
            </w:r>
            <w:r w:rsidRPr="00C15B4D">
              <w:rPr>
                <w:rFonts w:ascii="Calibri" w:eastAsia="Calibri" w:hAnsi="Calibri" w:cs="Calibri"/>
                <w:sz w:val="22"/>
                <w:szCs w:val="22"/>
              </w:rPr>
              <w:t>driven process consisting of information collection and preparation, technical assessment and a presentation of findings at high-level events (19/CMA.1, paras 3 and 19-34)</w:t>
            </w:r>
          </w:p>
        </w:tc>
        <w:tc>
          <w:tcPr>
            <w:tcW w:w="3875" w:type="dxa"/>
            <w:tcMar>
              <w:left w:w="108" w:type="dxa"/>
              <w:right w:w="108" w:type="dxa"/>
            </w:tcMar>
          </w:tcPr>
          <w:p w14:paraId="39CB32AD" w14:textId="54BE9585" w:rsidR="00702F1C" w:rsidRPr="00702F1C" w:rsidRDefault="00C42EE0" w:rsidP="00C42EE0">
            <w:pPr>
              <w:widowControl w:val="0"/>
              <w:rPr>
                <w:rFonts w:asciiTheme="majorHAnsi" w:eastAsia="Calibri" w:hAnsiTheme="majorHAnsi" w:cs="Calibri"/>
                <w:sz w:val="22"/>
                <w:szCs w:val="22"/>
              </w:rPr>
            </w:pPr>
            <w:r>
              <w:rPr>
                <w:rFonts w:asciiTheme="majorHAnsi" w:hAnsiTheme="majorHAnsi"/>
                <w:sz w:val="22"/>
                <w:szCs w:val="22"/>
              </w:rPr>
              <w:t>Ensure that delegation members participating in the global stocktake process are well informed and that the relevant government departments are prepared to take on board the outcomes of the stocktake, where relevant.</w:t>
            </w:r>
          </w:p>
        </w:tc>
      </w:tr>
      <w:tr w:rsidR="000D2873" w14:paraId="543AD0AB" w14:textId="77777777">
        <w:trPr>
          <w:trHeight w:val="20"/>
        </w:trPr>
        <w:tc>
          <w:tcPr>
            <w:tcW w:w="13940" w:type="dxa"/>
            <w:gridSpan w:val="4"/>
            <w:shd w:val="clear" w:color="auto" w:fill="D9D9D9"/>
          </w:tcPr>
          <w:p w14:paraId="6BB685E0" w14:textId="77777777" w:rsidR="000D2873" w:rsidRPr="00C15B4D" w:rsidRDefault="000D2873">
            <w:pPr>
              <w:widowControl w:val="0"/>
              <w:rPr>
                <w:rFonts w:ascii="Calibri" w:eastAsia="Calibri" w:hAnsi="Calibri" w:cs="Calibri"/>
                <w:sz w:val="22"/>
                <w:szCs w:val="22"/>
              </w:rPr>
            </w:pPr>
            <w:r w:rsidRPr="00C15B4D">
              <w:rPr>
                <w:rFonts w:ascii="Calibri" w:eastAsia="Calibri" w:hAnsi="Calibri" w:cs="Calibri"/>
                <w:sz w:val="22"/>
                <w:szCs w:val="22"/>
              </w:rPr>
              <w:t>Facilitating implementation and promoting compliance</w:t>
            </w:r>
          </w:p>
        </w:tc>
      </w:tr>
      <w:tr w:rsidR="000D2873" w14:paraId="710F0E14" w14:textId="77777777">
        <w:trPr>
          <w:trHeight w:val="20"/>
        </w:trPr>
        <w:tc>
          <w:tcPr>
            <w:tcW w:w="2694" w:type="dxa"/>
          </w:tcPr>
          <w:p w14:paraId="6F641858" w14:textId="2FB9831E" w:rsidR="000D2873" w:rsidRDefault="00F00F43">
            <w:pPr>
              <w:widowControl w:val="0"/>
              <w:rPr>
                <w:rFonts w:ascii="Calibri" w:eastAsia="Calibri" w:hAnsi="Calibri" w:cs="Calibri"/>
              </w:rPr>
            </w:pPr>
            <w:r>
              <w:rPr>
                <w:rFonts w:ascii="Calibri" w:eastAsia="Calibri" w:hAnsi="Calibri" w:cs="Calibri"/>
                <w:sz w:val="22"/>
                <w:szCs w:val="22"/>
              </w:rPr>
              <w:t xml:space="preserve">PA </w:t>
            </w:r>
            <w:r w:rsidR="000D2873">
              <w:rPr>
                <w:rFonts w:ascii="Calibri" w:eastAsia="Calibri" w:hAnsi="Calibri" w:cs="Calibri"/>
                <w:sz w:val="22"/>
                <w:szCs w:val="22"/>
              </w:rPr>
              <w:t>Art.15 establishes a mechanism to facilitate compliance consisting of a committee that functions in a non-adversarial, non-punitive manner</w:t>
            </w:r>
          </w:p>
        </w:tc>
        <w:tc>
          <w:tcPr>
            <w:tcW w:w="3685" w:type="dxa"/>
            <w:tcMar>
              <w:left w:w="108" w:type="dxa"/>
              <w:right w:w="108" w:type="dxa"/>
            </w:tcMar>
          </w:tcPr>
          <w:p w14:paraId="6E06DB35" w14:textId="3875E5E1" w:rsidR="000D2873" w:rsidRPr="00C15B4D" w:rsidRDefault="000D2873">
            <w:pPr>
              <w:widowControl w:val="0"/>
              <w:rPr>
                <w:rFonts w:ascii="Calibri" w:eastAsia="Calibri" w:hAnsi="Calibri" w:cs="Calibri"/>
                <w:sz w:val="22"/>
                <w:szCs w:val="22"/>
              </w:rPr>
            </w:pPr>
            <w:r w:rsidRPr="00C15B4D">
              <w:rPr>
                <w:rFonts w:ascii="Calibri" w:eastAsia="Calibri" w:hAnsi="Calibri" w:cs="Calibri"/>
                <w:sz w:val="22"/>
                <w:szCs w:val="22"/>
              </w:rPr>
              <w:t>The modalities and procedures for the operation of the committee are to be adopted at CMA1 (Art.15 para.3, 1/CP.21 para.103)</w:t>
            </w:r>
          </w:p>
        </w:tc>
        <w:tc>
          <w:tcPr>
            <w:tcW w:w="3686" w:type="dxa"/>
            <w:tcMar>
              <w:left w:w="108" w:type="dxa"/>
              <w:right w:w="108" w:type="dxa"/>
            </w:tcMar>
          </w:tcPr>
          <w:p w14:paraId="1814682F" w14:textId="77777777" w:rsidR="000D2873" w:rsidRPr="00C15B4D" w:rsidRDefault="000D2873">
            <w:pPr>
              <w:widowControl w:val="0"/>
              <w:rPr>
                <w:rFonts w:ascii="Calibri" w:eastAsia="Calibri" w:hAnsi="Calibri" w:cs="Calibri"/>
                <w:sz w:val="22"/>
                <w:szCs w:val="22"/>
              </w:rPr>
            </w:pPr>
            <w:r w:rsidRPr="00C15B4D">
              <w:rPr>
                <w:rFonts w:ascii="Calibri" w:eastAsia="Calibri" w:hAnsi="Calibri" w:cs="Calibri"/>
                <w:sz w:val="22"/>
                <w:szCs w:val="22"/>
              </w:rPr>
              <w:t>Parties agreed on election process, the initiation of procedures (self-referral and committee driven in case of non-compliance with mandatory reporting requirements) and outputs</w:t>
            </w:r>
          </w:p>
          <w:p w14:paraId="61ED8427" w14:textId="1E00C2E1" w:rsidR="000D2873" w:rsidRPr="00C15B4D" w:rsidRDefault="000D2873">
            <w:pPr>
              <w:widowControl w:val="0"/>
              <w:rPr>
                <w:rFonts w:ascii="Calibri" w:eastAsia="Calibri" w:hAnsi="Calibri" w:cs="Calibri"/>
                <w:sz w:val="22"/>
                <w:szCs w:val="22"/>
              </w:rPr>
            </w:pPr>
            <w:r w:rsidRPr="00C15B4D">
              <w:rPr>
                <w:rFonts w:ascii="Calibri" w:eastAsia="Calibri" w:hAnsi="Calibri" w:cs="Calibri"/>
                <w:sz w:val="22"/>
                <w:szCs w:val="22"/>
              </w:rPr>
              <w:t>(20/CMA.1, para.1)</w:t>
            </w:r>
          </w:p>
        </w:tc>
        <w:tc>
          <w:tcPr>
            <w:tcW w:w="3875" w:type="dxa"/>
            <w:tcMar>
              <w:left w:w="108" w:type="dxa"/>
              <w:right w:w="108" w:type="dxa"/>
            </w:tcMar>
          </w:tcPr>
          <w:p w14:paraId="6FF3A508" w14:textId="7CA1581F" w:rsidR="000D2873" w:rsidRPr="00702F1C" w:rsidRDefault="00702F1C" w:rsidP="003569DB">
            <w:pPr>
              <w:widowControl w:val="0"/>
              <w:rPr>
                <w:rFonts w:asciiTheme="majorHAnsi" w:eastAsia="Calibri" w:hAnsiTheme="majorHAnsi" w:cs="Calibri"/>
                <w:sz w:val="22"/>
                <w:szCs w:val="22"/>
              </w:rPr>
            </w:pPr>
            <w:r w:rsidRPr="00702F1C">
              <w:rPr>
                <w:rFonts w:asciiTheme="majorHAnsi" w:hAnsiTheme="majorHAnsi"/>
                <w:sz w:val="22"/>
                <w:szCs w:val="22"/>
              </w:rPr>
              <w:t>Systems in place to ensure that obligations and reporting requirements are met on a timely basis</w:t>
            </w:r>
            <w:r w:rsidR="00C42EE0">
              <w:rPr>
                <w:rFonts w:asciiTheme="majorHAnsi" w:hAnsiTheme="majorHAnsi"/>
                <w:sz w:val="22"/>
                <w:szCs w:val="22"/>
              </w:rPr>
              <w:t>.</w:t>
            </w:r>
          </w:p>
        </w:tc>
      </w:tr>
    </w:tbl>
    <w:p w14:paraId="699BFDF0" w14:textId="77777777" w:rsidR="00E57B69" w:rsidRDefault="00E57B69" w:rsidP="00C42EE0">
      <w:pPr>
        <w:pBdr>
          <w:top w:val="nil"/>
          <w:left w:val="nil"/>
          <w:bottom w:val="nil"/>
          <w:right w:val="nil"/>
          <w:between w:val="nil"/>
        </w:pBdr>
        <w:jc w:val="both"/>
        <w:rPr>
          <w:rFonts w:ascii="Arial" w:eastAsia="Arial" w:hAnsi="Arial" w:cs="Arial"/>
          <w:color w:val="000000"/>
          <w:sz w:val="22"/>
          <w:szCs w:val="22"/>
        </w:rPr>
      </w:pPr>
    </w:p>
    <w:sectPr w:rsidR="00E57B69">
      <w:pgSz w:w="16820" w:h="11900"/>
      <w:pgMar w:top="1800" w:right="1440" w:bottom="1800" w:left="144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EE678" w14:textId="77777777" w:rsidR="00F34A3D" w:rsidRDefault="00F34A3D">
      <w:r>
        <w:separator/>
      </w:r>
    </w:p>
  </w:endnote>
  <w:endnote w:type="continuationSeparator" w:id="0">
    <w:p w14:paraId="480F8A34" w14:textId="77777777" w:rsidR="00F34A3D" w:rsidRDefault="00F3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23DB4" w14:textId="77777777" w:rsidR="00654CEF" w:rsidRDefault="00654CEF">
    <w:pPr>
      <w:pBdr>
        <w:top w:val="nil"/>
        <w:left w:val="nil"/>
        <w:bottom w:val="nil"/>
        <w:right w:val="nil"/>
        <w:between w:val="nil"/>
      </w:pBdr>
      <w:tabs>
        <w:tab w:val="center" w:pos="4513"/>
        <w:tab w:val="right" w:pos="9026"/>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4F960AFD" w14:textId="77777777" w:rsidR="00654CEF" w:rsidRDefault="00654CEF">
    <w:pPr>
      <w:pBdr>
        <w:top w:val="nil"/>
        <w:left w:val="nil"/>
        <w:bottom w:val="nil"/>
        <w:right w:val="nil"/>
        <w:between w:val="nil"/>
      </w:pBdr>
      <w:tabs>
        <w:tab w:val="center" w:pos="4513"/>
        <w:tab w:val="right" w:pos="9026"/>
      </w:tabs>
      <w:ind w:right="360"/>
      <w:rPr>
        <w:color w:val="000000"/>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3A2A9" w14:textId="77777777" w:rsidR="00654CEF" w:rsidRPr="000D2F16" w:rsidRDefault="00654CEF">
    <w:pPr>
      <w:pBdr>
        <w:top w:val="nil"/>
        <w:left w:val="nil"/>
        <w:bottom w:val="nil"/>
        <w:right w:val="nil"/>
        <w:between w:val="nil"/>
      </w:pBdr>
      <w:tabs>
        <w:tab w:val="center" w:pos="4513"/>
        <w:tab w:val="right" w:pos="9026"/>
      </w:tabs>
      <w:jc w:val="right"/>
      <w:rPr>
        <w:rFonts w:asciiTheme="majorHAnsi" w:hAnsiTheme="majorHAnsi" w:cstheme="majorHAnsi"/>
        <w:color w:val="000000"/>
        <w:sz w:val="22"/>
        <w:szCs w:val="22"/>
      </w:rPr>
    </w:pPr>
    <w:r w:rsidRPr="000D2F16">
      <w:rPr>
        <w:rFonts w:asciiTheme="majorHAnsi" w:hAnsiTheme="majorHAnsi" w:cstheme="majorHAnsi"/>
        <w:color w:val="000000"/>
        <w:sz w:val="22"/>
        <w:szCs w:val="22"/>
      </w:rPr>
      <w:fldChar w:fldCharType="begin"/>
    </w:r>
    <w:r w:rsidRPr="000D2F16">
      <w:rPr>
        <w:rFonts w:asciiTheme="majorHAnsi" w:hAnsiTheme="majorHAnsi" w:cstheme="majorHAnsi"/>
        <w:color w:val="000000"/>
        <w:sz w:val="22"/>
        <w:szCs w:val="22"/>
      </w:rPr>
      <w:instrText>PAGE</w:instrText>
    </w:r>
    <w:r w:rsidRPr="000D2F16">
      <w:rPr>
        <w:rFonts w:asciiTheme="majorHAnsi" w:hAnsiTheme="majorHAnsi" w:cstheme="majorHAnsi"/>
        <w:color w:val="000000"/>
        <w:sz w:val="22"/>
        <w:szCs w:val="22"/>
      </w:rPr>
      <w:fldChar w:fldCharType="separate"/>
    </w:r>
    <w:r w:rsidR="006A5CFC">
      <w:rPr>
        <w:rFonts w:asciiTheme="majorHAnsi" w:hAnsiTheme="majorHAnsi" w:cstheme="majorHAnsi"/>
        <w:noProof/>
        <w:color w:val="000000"/>
        <w:sz w:val="22"/>
        <w:szCs w:val="22"/>
      </w:rPr>
      <w:t>10</w:t>
    </w:r>
    <w:r w:rsidRPr="000D2F16">
      <w:rPr>
        <w:rFonts w:asciiTheme="majorHAnsi" w:hAnsiTheme="majorHAnsi" w:cstheme="majorHAnsi"/>
        <w:color w:val="000000"/>
        <w:sz w:val="22"/>
        <w:szCs w:val="22"/>
      </w:rPr>
      <w:fldChar w:fldCharType="end"/>
    </w:r>
  </w:p>
  <w:p w14:paraId="4383F8B3" w14:textId="77777777" w:rsidR="00654CEF" w:rsidRDefault="00654CEF">
    <w:pPr>
      <w:pBdr>
        <w:top w:val="nil"/>
        <w:left w:val="nil"/>
        <w:bottom w:val="nil"/>
        <w:right w:val="nil"/>
        <w:between w:val="nil"/>
      </w:pBdr>
      <w:tabs>
        <w:tab w:val="center" w:pos="4513"/>
        <w:tab w:val="right" w:pos="9026"/>
      </w:tabs>
      <w:ind w:right="360"/>
      <w:jc w:val="right"/>
      <w:rPr>
        <w:rFonts w:ascii="Calibri" w:eastAsia="Calibri" w:hAnsi="Calibri" w:cs="Calibri"/>
        <w:color w:val="000000"/>
        <w:sz w:val="22"/>
        <w:szCs w:val="22"/>
      </w:rPr>
    </w:pPr>
  </w:p>
  <w:p w14:paraId="38E8B38F" w14:textId="77777777" w:rsidR="00654CEF" w:rsidRDefault="00654CEF">
    <w:pPr>
      <w:pBdr>
        <w:top w:val="nil"/>
        <w:left w:val="nil"/>
        <w:bottom w:val="nil"/>
        <w:right w:val="nil"/>
        <w:between w:val="nil"/>
      </w:pBdr>
      <w:tabs>
        <w:tab w:val="center" w:pos="4513"/>
        <w:tab w:val="right" w:pos="9026"/>
      </w:tabs>
      <w:rPr>
        <w:color w:val="000000"/>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6D37D" w14:textId="77777777" w:rsidR="00F34A3D" w:rsidRDefault="00F34A3D">
      <w:r>
        <w:separator/>
      </w:r>
    </w:p>
  </w:footnote>
  <w:footnote w:type="continuationSeparator" w:id="0">
    <w:p w14:paraId="54B6F7D3" w14:textId="77777777" w:rsidR="00F34A3D" w:rsidRDefault="00F34A3D">
      <w:r>
        <w:continuationSeparator/>
      </w:r>
    </w:p>
  </w:footnote>
  <w:footnote w:id="1">
    <w:p w14:paraId="20E6287B" w14:textId="4EFCE2FD" w:rsidR="00654CEF" w:rsidRPr="002349B8" w:rsidRDefault="00654CEF" w:rsidP="006741F1">
      <w:pPr>
        <w:pStyle w:val="FootnoteText"/>
        <w:rPr>
          <w:rFonts w:asciiTheme="majorHAnsi" w:hAnsiTheme="majorHAnsi" w:cstheme="majorHAnsi"/>
          <w:sz w:val="18"/>
          <w:szCs w:val="18"/>
        </w:rPr>
      </w:pPr>
      <w:r w:rsidRPr="002349B8">
        <w:rPr>
          <w:rStyle w:val="FootnoteReference"/>
          <w:rFonts w:asciiTheme="majorHAnsi" w:hAnsiTheme="majorHAnsi" w:cstheme="majorHAnsi"/>
          <w:sz w:val="18"/>
          <w:szCs w:val="18"/>
        </w:rPr>
        <w:footnoteRef/>
      </w:r>
      <w:r w:rsidRPr="002349B8">
        <w:rPr>
          <w:rFonts w:asciiTheme="majorHAnsi" w:hAnsiTheme="majorHAnsi" w:cstheme="majorHAnsi"/>
          <w:sz w:val="18"/>
          <w:szCs w:val="18"/>
        </w:rPr>
        <w:t xml:space="preserve"> At present the CMA1 decisions 3 to 12, as contained in document FCCC/PA/CMA/2018/3/Add.1, can be easily accessed via:</w:t>
      </w:r>
    </w:p>
    <w:p w14:paraId="38ABBA1F" w14:textId="35C2ABA1" w:rsidR="00654CEF" w:rsidRPr="002349B8" w:rsidRDefault="00654CEF" w:rsidP="006741F1">
      <w:pPr>
        <w:pStyle w:val="FootnoteText"/>
        <w:rPr>
          <w:rFonts w:asciiTheme="majorHAnsi" w:hAnsiTheme="majorHAnsi" w:cstheme="majorHAnsi"/>
          <w:sz w:val="18"/>
          <w:szCs w:val="18"/>
        </w:rPr>
      </w:pPr>
      <w:r w:rsidRPr="002349B8">
        <w:rPr>
          <w:rFonts w:asciiTheme="majorHAnsi" w:hAnsiTheme="majorHAnsi" w:cstheme="majorHAnsi"/>
          <w:sz w:val="18"/>
          <w:szCs w:val="18"/>
        </w:rPr>
        <w:t>https://unfccc.int/sites/default/files/resource/cma2018_3_add1_advance.pdf</w:t>
      </w:r>
    </w:p>
  </w:footnote>
  <w:footnote w:id="2">
    <w:p w14:paraId="1ACFDA67" w14:textId="77777777" w:rsidR="00654CEF" w:rsidRPr="002349B8" w:rsidRDefault="00654CEF">
      <w:pPr>
        <w:pStyle w:val="FootnoteText"/>
        <w:rPr>
          <w:rFonts w:asciiTheme="majorHAnsi" w:hAnsiTheme="majorHAnsi" w:cstheme="majorHAnsi"/>
          <w:sz w:val="18"/>
          <w:szCs w:val="18"/>
        </w:rPr>
      </w:pPr>
      <w:r w:rsidRPr="002349B8">
        <w:rPr>
          <w:rStyle w:val="FootnoteReference"/>
          <w:rFonts w:asciiTheme="majorHAnsi" w:hAnsiTheme="majorHAnsi" w:cstheme="majorHAnsi"/>
          <w:sz w:val="18"/>
          <w:szCs w:val="18"/>
        </w:rPr>
        <w:footnoteRef/>
      </w:r>
      <w:r w:rsidRPr="002349B8">
        <w:rPr>
          <w:rFonts w:asciiTheme="majorHAnsi" w:hAnsiTheme="majorHAnsi" w:cstheme="majorHAnsi"/>
          <w:sz w:val="18"/>
          <w:szCs w:val="18"/>
        </w:rPr>
        <w:t xml:space="preserve"> At present the CMA1 decisions 13 to 20, as contained in document FCCC/PA/CMA/2018/3/Add.2, can be easily accessed via:</w:t>
      </w:r>
    </w:p>
    <w:p w14:paraId="1AADDBA4" w14:textId="552B9F06" w:rsidR="00654CEF" w:rsidRPr="002349B8" w:rsidRDefault="00654CEF">
      <w:pPr>
        <w:pStyle w:val="FootnoteText"/>
        <w:rPr>
          <w:rFonts w:asciiTheme="majorHAnsi" w:hAnsiTheme="majorHAnsi" w:cstheme="majorHAnsi"/>
          <w:sz w:val="18"/>
          <w:szCs w:val="18"/>
        </w:rPr>
      </w:pPr>
      <w:r w:rsidRPr="002349B8">
        <w:rPr>
          <w:rFonts w:asciiTheme="majorHAnsi" w:hAnsiTheme="majorHAnsi" w:cstheme="majorHAnsi"/>
          <w:sz w:val="18"/>
          <w:szCs w:val="18"/>
        </w:rPr>
        <w:t xml:space="preserve">https://unfccc.int/sites/default/files/resource/cma2018_3_add2%20final_advance.pdf </w:t>
      </w:r>
    </w:p>
  </w:footnote>
  <w:footnote w:id="3">
    <w:p w14:paraId="52978DDD" w14:textId="41E5EC44" w:rsidR="00654CEF" w:rsidRPr="002349B8" w:rsidRDefault="00654CEF">
      <w:pPr>
        <w:pStyle w:val="FootnoteText"/>
        <w:rPr>
          <w:rFonts w:asciiTheme="majorHAnsi" w:hAnsiTheme="majorHAnsi" w:cstheme="majorHAnsi"/>
          <w:sz w:val="18"/>
          <w:szCs w:val="18"/>
        </w:rPr>
      </w:pPr>
      <w:r w:rsidRPr="002349B8">
        <w:rPr>
          <w:rStyle w:val="FootnoteReference"/>
          <w:rFonts w:asciiTheme="majorHAnsi" w:hAnsiTheme="majorHAnsi" w:cstheme="majorHAnsi"/>
          <w:sz w:val="18"/>
          <w:szCs w:val="18"/>
        </w:rPr>
        <w:footnoteRef/>
      </w:r>
      <w:r w:rsidRPr="002349B8">
        <w:rPr>
          <w:rFonts w:asciiTheme="majorHAnsi" w:hAnsiTheme="majorHAnsi" w:cstheme="majorHAnsi"/>
          <w:sz w:val="18"/>
          <w:szCs w:val="18"/>
        </w:rPr>
        <w:t xml:space="preserve"> Formally, the decision, contained in document FCCC/KP/CMP/2018/8/Add.1, had to be taken by the Meeting of Parties to the Kyoto Protocol (while the CMA made corresponding suggestions) and can currently be accessed via: https://unfccc.int/sites/default/files/resource/cmp2018_8_Add.1_advance.pdf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E6F5D" w14:textId="3464F089" w:rsidR="00654CEF" w:rsidRPr="004C25C8" w:rsidRDefault="00654CEF" w:rsidP="00945E9D">
    <w:pPr>
      <w:pStyle w:val="Header"/>
      <w:tabs>
        <w:tab w:val="left" w:pos="5792"/>
      </w:tabs>
      <w:rPr>
        <w:rFonts w:asciiTheme="majorHAnsi" w:hAnsiTheme="majorHAnsi"/>
        <w:sz w:val="22"/>
        <w:szCs w:val="22"/>
      </w:rPr>
    </w:pPr>
    <w:r w:rsidRPr="004C25C8">
      <w:rPr>
        <w:rFonts w:asciiTheme="majorHAnsi" w:hAnsiTheme="majorHAnsi"/>
        <w:sz w:val="22"/>
        <w:szCs w:val="22"/>
      </w:rPr>
      <w:t>P</w:t>
    </w:r>
    <w:r>
      <w:rPr>
        <w:rFonts w:asciiTheme="majorHAnsi" w:hAnsiTheme="majorHAnsi"/>
        <w:sz w:val="22"/>
        <w:szCs w:val="22"/>
      </w:rPr>
      <w:t>roduced by LRI</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57295E">
      <w:rPr>
        <w:rFonts w:asciiTheme="majorHAnsi" w:hAnsiTheme="majorHAnsi"/>
        <w:sz w:val="22"/>
        <w:szCs w:val="22"/>
      </w:rPr>
      <w:t>10</w:t>
    </w:r>
    <w:r>
      <w:rPr>
        <w:rFonts w:asciiTheme="majorHAnsi" w:hAnsiTheme="majorHAnsi"/>
        <w:sz w:val="22"/>
        <w:szCs w:val="22"/>
      </w:rPr>
      <w:t xml:space="preserve"> June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B69"/>
    <w:rsid w:val="00007DB0"/>
    <w:rsid w:val="000136D5"/>
    <w:rsid w:val="00052177"/>
    <w:rsid w:val="0005460B"/>
    <w:rsid w:val="000677A3"/>
    <w:rsid w:val="000947CF"/>
    <w:rsid w:val="000B0D3E"/>
    <w:rsid w:val="000B6E06"/>
    <w:rsid w:val="000C0009"/>
    <w:rsid w:val="000D2873"/>
    <w:rsid w:val="000D2F16"/>
    <w:rsid w:val="000E1A0D"/>
    <w:rsid w:val="000F421E"/>
    <w:rsid w:val="00116413"/>
    <w:rsid w:val="001765D1"/>
    <w:rsid w:val="001823B9"/>
    <w:rsid w:val="001A13EC"/>
    <w:rsid w:val="001A19DF"/>
    <w:rsid w:val="001B02C0"/>
    <w:rsid w:val="001F76C4"/>
    <w:rsid w:val="002349B8"/>
    <w:rsid w:val="00245D60"/>
    <w:rsid w:val="002559A8"/>
    <w:rsid w:val="00290FE5"/>
    <w:rsid w:val="002B6D43"/>
    <w:rsid w:val="002D515B"/>
    <w:rsid w:val="00322377"/>
    <w:rsid w:val="00325B5C"/>
    <w:rsid w:val="0034798B"/>
    <w:rsid w:val="003569DB"/>
    <w:rsid w:val="00363E5C"/>
    <w:rsid w:val="00377893"/>
    <w:rsid w:val="00383FB9"/>
    <w:rsid w:val="003C2AE4"/>
    <w:rsid w:val="003C5BDA"/>
    <w:rsid w:val="003C72DE"/>
    <w:rsid w:val="003D1382"/>
    <w:rsid w:val="003E2D3A"/>
    <w:rsid w:val="003F1F48"/>
    <w:rsid w:val="0041193A"/>
    <w:rsid w:val="00415D1F"/>
    <w:rsid w:val="00453DCD"/>
    <w:rsid w:val="004656F8"/>
    <w:rsid w:val="00470786"/>
    <w:rsid w:val="00474A30"/>
    <w:rsid w:val="004A4E64"/>
    <w:rsid w:val="004B59EA"/>
    <w:rsid w:val="004C25C8"/>
    <w:rsid w:val="004E357B"/>
    <w:rsid w:val="004E65E2"/>
    <w:rsid w:val="004F221B"/>
    <w:rsid w:val="0050475B"/>
    <w:rsid w:val="005121C9"/>
    <w:rsid w:val="00524C0F"/>
    <w:rsid w:val="00527D6E"/>
    <w:rsid w:val="00552DD3"/>
    <w:rsid w:val="00554269"/>
    <w:rsid w:val="0057295E"/>
    <w:rsid w:val="005A5F1A"/>
    <w:rsid w:val="005B7FF5"/>
    <w:rsid w:val="005C0635"/>
    <w:rsid w:val="005C41F9"/>
    <w:rsid w:val="00610408"/>
    <w:rsid w:val="006248DC"/>
    <w:rsid w:val="00654CEF"/>
    <w:rsid w:val="006741F1"/>
    <w:rsid w:val="006A5CFC"/>
    <w:rsid w:val="006C4AB6"/>
    <w:rsid w:val="00702F1C"/>
    <w:rsid w:val="00705222"/>
    <w:rsid w:val="00746DC6"/>
    <w:rsid w:val="00747682"/>
    <w:rsid w:val="0076620B"/>
    <w:rsid w:val="00766A90"/>
    <w:rsid w:val="00773B28"/>
    <w:rsid w:val="007E2DBD"/>
    <w:rsid w:val="007E346D"/>
    <w:rsid w:val="00822DE6"/>
    <w:rsid w:val="008278F8"/>
    <w:rsid w:val="00837EB7"/>
    <w:rsid w:val="00844603"/>
    <w:rsid w:val="008604E1"/>
    <w:rsid w:val="008A0CAC"/>
    <w:rsid w:val="008A50B8"/>
    <w:rsid w:val="008B4635"/>
    <w:rsid w:val="008B6EA5"/>
    <w:rsid w:val="008C480F"/>
    <w:rsid w:val="008C70AB"/>
    <w:rsid w:val="008D51BB"/>
    <w:rsid w:val="008E21AE"/>
    <w:rsid w:val="008E3286"/>
    <w:rsid w:val="009201AE"/>
    <w:rsid w:val="00940D61"/>
    <w:rsid w:val="00945E9D"/>
    <w:rsid w:val="00961FF0"/>
    <w:rsid w:val="00982859"/>
    <w:rsid w:val="00990805"/>
    <w:rsid w:val="00996DE1"/>
    <w:rsid w:val="009D29DD"/>
    <w:rsid w:val="009D4F0B"/>
    <w:rsid w:val="009E67D8"/>
    <w:rsid w:val="009F778C"/>
    <w:rsid w:val="00A00683"/>
    <w:rsid w:val="00A61C27"/>
    <w:rsid w:val="00A751D3"/>
    <w:rsid w:val="00A77CE5"/>
    <w:rsid w:val="00A9474B"/>
    <w:rsid w:val="00A94F09"/>
    <w:rsid w:val="00AA33D3"/>
    <w:rsid w:val="00AB4F8E"/>
    <w:rsid w:val="00AC5860"/>
    <w:rsid w:val="00AD3942"/>
    <w:rsid w:val="00AE42D9"/>
    <w:rsid w:val="00AF40ED"/>
    <w:rsid w:val="00B0360E"/>
    <w:rsid w:val="00B1349B"/>
    <w:rsid w:val="00B14973"/>
    <w:rsid w:val="00B411B3"/>
    <w:rsid w:val="00B42B27"/>
    <w:rsid w:val="00B4390A"/>
    <w:rsid w:val="00B4577B"/>
    <w:rsid w:val="00B650D3"/>
    <w:rsid w:val="00BA3FDE"/>
    <w:rsid w:val="00BD65B4"/>
    <w:rsid w:val="00BE0D50"/>
    <w:rsid w:val="00BE0F81"/>
    <w:rsid w:val="00BE7F42"/>
    <w:rsid w:val="00C02E39"/>
    <w:rsid w:val="00C118C4"/>
    <w:rsid w:val="00C15B4D"/>
    <w:rsid w:val="00C42DFB"/>
    <w:rsid w:val="00C42EE0"/>
    <w:rsid w:val="00C468FD"/>
    <w:rsid w:val="00C55104"/>
    <w:rsid w:val="00C77327"/>
    <w:rsid w:val="00C80334"/>
    <w:rsid w:val="00D2312D"/>
    <w:rsid w:val="00D41A4E"/>
    <w:rsid w:val="00D45A55"/>
    <w:rsid w:val="00D45F66"/>
    <w:rsid w:val="00D54A2A"/>
    <w:rsid w:val="00D64AEA"/>
    <w:rsid w:val="00D8302E"/>
    <w:rsid w:val="00D94C35"/>
    <w:rsid w:val="00DA498D"/>
    <w:rsid w:val="00DB2119"/>
    <w:rsid w:val="00DF0894"/>
    <w:rsid w:val="00E51E65"/>
    <w:rsid w:val="00E57B69"/>
    <w:rsid w:val="00E624B0"/>
    <w:rsid w:val="00E753CA"/>
    <w:rsid w:val="00E76323"/>
    <w:rsid w:val="00EB22A7"/>
    <w:rsid w:val="00EC0708"/>
    <w:rsid w:val="00ED429C"/>
    <w:rsid w:val="00ED4310"/>
    <w:rsid w:val="00EF78C1"/>
    <w:rsid w:val="00F00F43"/>
    <w:rsid w:val="00F17CD1"/>
    <w:rsid w:val="00F21DE7"/>
    <w:rsid w:val="00F22452"/>
    <w:rsid w:val="00F24B99"/>
    <w:rsid w:val="00F34A3D"/>
    <w:rsid w:val="00F439C5"/>
    <w:rsid w:val="00F669CA"/>
    <w:rsid w:val="00FA4056"/>
    <w:rsid w:val="00FB4E84"/>
    <w:rsid w:val="00FB6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3003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F1F48"/>
    <w:rPr>
      <w:rFonts w:ascii="Lucida Grande" w:hAnsi="Lucida Grande"/>
      <w:sz w:val="18"/>
      <w:szCs w:val="18"/>
    </w:rPr>
  </w:style>
  <w:style w:type="character" w:customStyle="1" w:styleId="BalloonTextChar">
    <w:name w:val="Balloon Text Char"/>
    <w:basedOn w:val="DefaultParagraphFont"/>
    <w:link w:val="BalloonText"/>
    <w:uiPriority w:val="99"/>
    <w:semiHidden/>
    <w:rsid w:val="003F1F48"/>
    <w:rPr>
      <w:rFonts w:ascii="Lucida Grande" w:hAnsi="Lucida Grande"/>
      <w:sz w:val="18"/>
      <w:szCs w:val="18"/>
    </w:rPr>
  </w:style>
  <w:style w:type="paragraph" w:styleId="FootnoteText">
    <w:name w:val="footnote text"/>
    <w:basedOn w:val="Normal"/>
    <w:link w:val="FootnoteTextChar"/>
    <w:uiPriority w:val="99"/>
    <w:unhideWhenUsed/>
    <w:rsid w:val="00B4577B"/>
  </w:style>
  <w:style w:type="character" w:customStyle="1" w:styleId="FootnoteTextChar">
    <w:name w:val="Footnote Text Char"/>
    <w:basedOn w:val="DefaultParagraphFont"/>
    <w:link w:val="FootnoteText"/>
    <w:uiPriority w:val="99"/>
    <w:rsid w:val="00B4577B"/>
  </w:style>
  <w:style w:type="character" w:styleId="FootnoteReference">
    <w:name w:val="footnote reference"/>
    <w:basedOn w:val="DefaultParagraphFont"/>
    <w:uiPriority w:val="99"/>
    <w:unhideWhenUsed/>
    <w:rsid w:val="00B4577B"/>
    <w:rPr>
      <w:vertAlign w:val="superscript"/>
    </w:rPr>
  </w:style>
  <w:style w:type="paragraph" w:styleId="Header">
    <w:name w:val="header"/>
    <w:basedOn w:val="Normal"/>
    <w:link w:val="HeaderChar"/>
    <w:uiPriority w:val="99"/>
    <w:unhideWhenUsed/>
    <w:rsid w:val="004C25C8"/>
    <w:pPr>
      <w:tabs>
        <w:tab w:val="center" w:pos="4320"/>
        <w:tab w:val="right" w:pos="8640"/>
      </w:tabs>
    </w:pPr>
  </w:style>
  <w:style w:type="character" w:customStyle="1" w:styleId="HeaderChar">
    <w:name w:val="Header Char"/>
    <w:basedOn w:val="DefaultParagraphFont"/>
    <w:link w:val="Header"/>
    <w:uiPriority w:val="99"/>
    <w:rsid w:val="004C25C8"/>
  </w:style>
  <w:style w:type="paragraph" w:styleId="Footer">
    <w:name w:val="footer"/>
    <w:basedOn w:val="Normal"/>
    <w:link w:val="FooterChar"/>
    <w:uiPriority w:val="99"/>
    <w:unhideWhenUsed/>
    <w:rsid w:val="004C25C8"/>
    <w:pPr>
      <w:tabs>
        <w:tab w:val="center" w:pos="4320"/>
        <w:tab w:val="right" w:pos="8640"/>
      </w:tabs>
    </w:pPr>
  </w:style>
  <w:style w:type="character" w:customStyle="1" w:styleId="FooterChar">
    <w:name w:val="Footer Char"/>
    <w:basedOn w:val="DefaultParagraphFont"/>
    <w:link w:val="Footer"/>
    <w:uiPriority w:val="99"/>
    <w:rsid w:val="004C2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3200</Words>
  <Characters>18240</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Pascale Bird</cp:lastModifiedBy>
  <cp:revision>2</cp:revision>
  <cp:lastPrinted>2019-06-10T10:48:00Z</cp:lastPrinted>
  <dcterms:created xsi:type="dcterms:W3CDTF">2019-06-10T14:51:00Z</dcterms:created>
  <dcterms:modified xsi:type="dcterms:W3CDTF">2019-06-10T14:51:00Z</dcterms:modified>
</cp:coreProperties>
</file>